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C2" w:rsidRDefault="009D3BC2">
      <w:pPr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1982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544F" w:rsidRDefault="009D3BC2">
      <w:pPr>
        <w:rPr>
          <w:rFonts w:ascii="Times New Roman" w:hAnsi="Times New Roman" w:cs="Times New Roman"/>
          <w:b/>
          <w:sz w:val="32"/>
        </w:rPr>
      </w:pPr>
      <w:r w:rsidRPr="009D3BC2">
        <w:rPr>
          <w:rFonts w:ascii="Times New Roman" w:hAnsi="Times New Roman" w:cs="Times New Roman"/>
          <w:b/>
          <w:sz w:val="32"/>
        </w:rPr>
        <w:t>Análisis filosófico de la religión</w:t>
      </w:r>
    </w:p>
    <w:p w:rsidR="009D3BC2" w:rsidRPr="009D3BC2" w:rsidRDefault="009D3BC2" w:rsidP="009D3BC2">
      <w:pPr>
        <w:rPr>
          <w:rFonts w:ascii="Times New Roman" w:hAnsi="Times New Roman" w:cs="Times New Roman"/>
        </w:rPr>
      </w:pPr>
      <w:r w:rsidRPr="009D3BC2">
        <w:rPr>
          <w:rFonts w:ascii="Times New Roman" w:hAnsi="Times New Roman" w:cs="Times New Roman"/>
        </w:rPr>
        <w:t>La religión como sistema cultural. Las religiones como sistemas de símbolos. Teorías de la religión primitiva. Religión, prohibición y transgresión. La pregunta por el sentido de la vida y la apertura religiosa. Razón y fe. Religión y moral. Monoteísmos, cristianismo y muerte de Dios.  Religión y culpa.</w:t>
      </w:r>
    </w:p>
    <w:p w:rsidR="009D3BC2" w:rsidRPr="009D3BC2" w:rsidRDefault="009D3BC2" w:rsidP="009D3BC2">
      <w:pPr>
        <w:rPr>
          <w:rFonts w:ascii="Times New Roman" w:hAnsi="Times New Roman" w:cs="Times New Roman"/>
        </w:rPr>
      </w:pPr>
      <w:r w:rsidRPr="009D3BC2">
        <w:rPr>
          <w:rFonts w:ascii="Times New Roman" w:hAnsi="Times New Roman" w:cs="Times New Roman"/>
        </w:rPr>
        <w:t>La religión como conducta expresiva.</w:t>
      </w:r>
      <w:r>
        <w:rPr>
          <w:rFonts w:ascii="Times New Roman" w:hAnsi="Times New Roman" w:cs="Times New Roman"/>
        </w:rPr>
        <w:t xml:space="preserve"> </w:t>
      </w:r>
      <w:r w:rsidRPr="009D3BC2">
        <w:rPr>
          <w:rFonts w:ascii="Times New Roman" w:hAnsi="Times New Roman" w:cs="Times New Roman"/>
        </w:rPr>
        <w:t xml:space="preserve">Las morfologías de lo sagrado y las sacralidades contemporáneas. La gramática de las creencias rituales: religión, magia, brujería y chamanismo.  Religión y religiosidad: las variedades de la experiencia religiosa. Las formas alteradas de percepción y conciencia: </w:t>
      </w:r>
      <w:proofErr w:type="spellStart"/>
      <w:r w:rsidRPr="009D3BC2">
        <w:rPr>
          <w:rFonts w:ascii="Times New Roman" w:hAnsi="Times New Roman" w:cs="Times New Roman"/>
        </w:rPr>
        <w:t>enteógenos</w:t>
      </w:r>
      <w:proofErr w:type="spellEnd"/>
      <w:r w:rsidRPr="009D3BC2">
        <w:rPr>
          <w:rFonts w:ascii="Times New Roman" w:hAnsi="Times New Roman" w:cs="Times New Roman"/>
        </w:rPr>
        <w:t xml:space="preserve"> y religión.</w:t>
      </w:r>
    </w:p>
    <w:p w:rsidR="009D3BC2" w:rsidRPr="009D3BC2" w:rsidRDefault="009D3BC2" w:rsidP="009D3BC2">
      <w:pPr>
        <w:rPr>
          <w:rFonts w:ascii="Times New Roman" w:hAnsi="Times New Roman" w:cs="Times New Roman"/>
        </w:rPr>
      </w:pPr>
      <w:r w:rsidRPr="009D3BC2">
        <w:rPr>
          <w:rFonts w:ascii="Times New Roman" w:hAnsi="Times New Roman" w:cs="Times New Roman"/>
        </w:rPr>
        <w:t>Religión y fundamentalismo religioso. Guerras de religión, iglesias y laicismo del Estado. La religión y el problema del mal en la historia.</w:t>
      </w:r>
    </w:p>
    <w:sectPr w:rsidR="009D3BC2" w:rsidRPr="009D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02"/>
    <w:rsid w:val="00967E02"/>
    <w:rsid w:val="009D3BC2"/>
    <w:rsid w:val="00BB1CCC"/>
    <w:rsid w:val="00C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2017-03-27T10:41:00Z</dcterms:created>
  <dcterms:modified xsi:type="dcterms:W3CDTF">2017-03-27T10:42:00Z</dcterms:modified>
</cp:coreProperties>
</file>