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02" w:rsidRDefault="00A26802" w:rsidP="00A26802">
      <w:pPr>
        <w:rPr>
          <w:rFonts w:ascii="Times New Roman" w:hAnsi="Times New Roman" w:cs="Times New Roman"/>
          <w:b/>
          <w:sz w:val="32"/>
        </w:rPr>
      </w:pPr>
      <w:bookmarkStart w:id="0" w:name="_GoBack"/>
      <w:r>
        <w:rPr>
          <w:rFonts w:ascii="Times New Roman" w:hAnsi="Times New Roman" w:cs="Times New Roman"/>
          <w:b/>
          <w:noProof/>
          <w:sz w:val="32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1076325" y="895350"/>
            <wp:positionH relativeFrom="margin">
              <wp:align>center</wp:align>
            </wp:positionH>
            <wp:positionV relativeFrom="margin">
              <wp:align>top</wp:align>
            </wp:positionV>
            <wp:extent cx="5659120" cy="1198245"/>
            <wp:effectExtent l="0" t="0" r="0" b="1905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ompfccolorpositivocropforthewebconpg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9120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3C544F" w:rsidRDefault="00A26802" w:rsidP="00A26802">
      <w:pPr>
        <w:rPr>
          <w:rFonts w:ascii="Times New Roman" w:hAnsi="Times New Roman" w:cs="Times New Roman"/>
          <w:b/>
          <w:sz w:val="32"/>
        </w:rPr>
      </w:pPr>
      <w:r w:rsidRPr="00A26802">
        <w:rPr>
          <w:rFonts w:ascii="Times New Roman" w:hAnsi="Times New Roman" w:cs="Times New Roman"/>
          <w:b/>
          <w:sz w:val="32"/>
        </w:rPr>
        <w:t>Filosofía y género</w:t>
      </w:r>
    </w:p>
    <w:p w:rsidR="00A26802" w:rsidRPr="00A26802" w:rsidRDefault="00A26802" w:rsidP="00A26802">
      <w:pPr>
        <w:rPr>
          <w:rFonts w:ascii="Times New Roman" w:hAnsi="Times New Roman" w:cs="Times New Roman"/>
        </w:rPr>
      </w:pPr>
      <w:r w:rsidRPr="00A26802">
        <w:rPr>
          <w:rFonts w:ascii="Times New Roman" w:hAnsi="Times New Roman" w:cs="Times New Roman"/>
        </w:rPr>
        <w:t>Diferencias entre sexo y género.  Género e Identidad: el género como productor de discursos sobre el sexo. Género y constitución  del sujeto. Identidad y diferencia sexual. La diferencia sexual y la desigualdad en las relaciones entre los géneros. Dominio sexual y patriarcado.</w:t>
      </w:r>
    </w:p>
    <w:p w:rsidR="00A26802" w:rsidRPr="00A26802" w:rsidRDefault="00A26802" w:rsidP="00A26802">
      <w:pPr>
        <w:rPr>
          <w:rFonts w:ascii="Times New Roman" w:hAnsi="Times New Roman" w:cs="Times New Roman"/>
        </w:rPr>
      </w:pPr>
      <w:r w:rsidRPr="00A26802">
        <w:rPr>
          <w:rFonts w:ascii="Times New Roman" w:hAnsi="Times New Roman" w:cs="Times New Roman"/>
        </w:rPr>
        <w:t>Feminismo y crisis de la razón. Problemas filosóficos en torno a la construcción social y discursiva de  los géneros: Lo femenino y lo masculino. La crítica del feminismo filosófico a la desigualdad de géneros. El problema filosófico del dualismo sexual. La crítica filosófica a la lógica binaria  de los sexos. Género y diversidad cultural.  Género, ciudadanía y sujeto  político. Género y ciencia.</w:t>
      </w:r>
    </w:p>
    <w:sectPr w:rsidR="00A26802" w:rsidRPr="00A268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802"/>
    <w:rsid w:val="00A26802"/>
    <w:rsid w:val="00BB1CCC"/>
    <w:rsid w:val="00C5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26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68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26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68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592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UNIDAD WEB</dc:creator>
  <cp:lastModifiedBy>UNIDAD WEB</cp:lastModifiedBy>
  <cp:revision>1</cp:revision>
  <dcterms:created xsi:type="dcterms:W3CDTF">2017-03-27T10:55:00Z</dcterms:created>
  <dcterms:modified xsi:type="dcterms:W3CDTF">2017-03-27T10:56:00Z</dcterms:modified>
</cp:coreProperties>
</file>