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89" w:rsidRDefault="00867E89">
      <w:pPr>
        <w:pStyle w:val="Textoindependiente"/>
        <w:spacing w:before="34" w:line="259" w:lineRule="auto"/>
        <w:rPr>
          <w:lang w:val="ca-ES"/>
        </w:rPr>
      </w:pPr>
      <w:bookmarkStart w:id="0" w:name="_GoBack"/>
      <w:bookmarkEnd w:id="0"/>
      <w:r>
        <w:rPr>
          <w:lang w:val="ca-ES"/>
        </w:rPr>
        <w:t>ACORD DE LA MESA NEGOCIADORA DE LA UNIVERSITAT DE VALÈNCIA DE 26 DE MARÇ DE 2018 SOBRE MILLORA DE CONDICIONS LABOR</w:t>
      </w:r>
      <w:r w:rsidR="007D4F8F">
        <w:rPr>
          <w:lang w:val="ca-ES"/>
        </w:rPr>
        <w:t>A</w:t>
      </w:r>
      <w:r>
        <w:rPr>
          <w:lang w:val="ca-ES"/>
        </w:rPr>
        <w:t>LS DEL PROFESSORAT ASSOCIAT.</w:t>
      </w:r>
    </w:p>
    <w:p w:rsidR="00867E89" w:rsidRDefault="00867E89">
      <w:pPr>
        <w:pStyle w:val="Textoindependiente"/>
        <w:spacing w:before="34" w:line="259" w:lineRule="auto"/>
        <w:rPr>
          <w:lang w:val="ca-ES"/>
        </w:rPr>
      </w:pPr>
    </w:p>
    <w:p w:rsidR="001D5B97" w:rsidRPr="00CA525E" w:rsidRDefault="00357C27">
      <w:pPr>
        <w:pStyle w:val="Textoindependiente"/>
        <w:spacing w:before="34" w:line="259" w:lineRule="auto"/>
        <w:rPr>
          <w:lang w:val="ca-ES"/>
        </w:rPr>
      </w:pPr>
      <w:r w:rsidRPr="00CA525E">
        <w:rPr>
          <w:lang w:val="ca-ES"/>
        </w:rPr>
        <w:t>1.-</w:t>
      </w:r>
      <w:r w:rsidRPr="00CA525E">
        <w:rPr>
          <w:spacing w:val="-6"/>
          <w:lang w:val="ca-ES"/>
        </w:rPr>
        <w:t xml:space="preserve"> </w:t>
      </w:r>
      <w:r w:rsidRPr="00CA525E">
        <w:rPr>
          <w:lang w:val="ca-ES"/>
        </w:rPr>
        <w:t>El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conveni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col·lectiu</w:t>
      </w:r>
      <w:r w:rsidRPr="00CA525E">
        <w:rPr>
          <w:spacing w:val="-6"/>
          <w:lang w:val="ca-ES"/>
        </w:rPr>
        <w:t xml:space="preserve"> </w:t>
      </w:r>
      <w:r w:rsidRPr="00CA525E">
        <w:rPr>
          <w:lang w:val="ca-ES"/>
        </w:rPr>
        <w:t>del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personal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laboral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de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les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Universitats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Públiques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Valencianes</w:t>
      </w:r>
      <w:r w:rsidRPr="00CA525E">
        <w:rPr>
          <w:spacing w:val="-4"/>
          <w:lang w:val="ca-ES"/>
        </w:rPr>
        <w:t xml:space="preserve"> </w:t>
      </w:r>
      <w:r w:rsidRPr="00CA525E">
        <w:rPr>
          <w:lang w:val="ca-ES"/>
        </w:rPr>
        <w:t>que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s’està negociant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actualment,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recollirà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explícitament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les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retribucions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de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la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totalitat</w:t>
      </w:r>
      <w:r w:rsidRPr="00CA525E">
        <w:rPr>
          <w:spacing w:val="-7"/>
          <w:lang w:val="ca-ES"/>
        </w:rPr>
        <w:t xml:space="preserve"> </w:t>
      </w:r>
      <w:r w:rsidRPr="00CA525E">
        <w:rPr>
          <w:lang w:val="ca-ES"/>
        </w:rPr>
        <w:t>del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>personal</w:t>
      </w:r>
      <w:r w:rsidRPr="00CA525E">
        <w:rPr>
          <w:spacing w:val="-8"/>
          <w:lang w:val="ca-ES"/>
        </w:rPr>
        <w:t xml:space="preserve"> </w:t>
      </w:r>
      <w:r w:rsidRPr="00CA525E">
        <w:rPr>
          <w:lang w:val="ca-ES"/>
        </w:rPr>
        <w:t xml:space="preserve">laboral i en particular les del personal associat. En eixe </w:t>
      </w:r>
      <w:r w:rsidR="0038723C">
        <w:rPr>
          <w:lang w:val="ca-ES"/>
        </w:rPr>
        <w:t>contex</w:t>
      </w:r>
      <w:r w:rsidRPr="00CA525E">
        <w:rPr>
          <w:lang w:val="ca-ES"/>
        </w:rPr>
        <w:t>t</w:t>
      </w:r>
      <w:r w:rsidR="0038723C">
        <w:rPr>
          <w:lang w:val="ca-ES"/>
        </w:rPr>
        <w:t>,</w:t>
      </w:r>
      <w:r w:rsidRPr="00CA525E">
        <w:rPr>
          <w:lang w:val="ca-ES"/>
        </w:rPr>
        <w:t xml:space="preserve"> </w:t>
      </w:r>
      <w:r w:rsidR="0038723C">
        <w:rPr>
          <w:lang w:val="ca-ES"/>
        </w:rPr>
        <w:t xml:space="preserve">la Universitat de València donarà suport a una retribució </w:t>
      </w:r>
      <w:r w:rsidRPr="00CA525E">
        <w:rPr>
          <w:lang w:val="ca-ES"/>
        </w:rPr>
        <w:t>del</w:t>
      </w:r>
      <w:r w:rsidRPr="00CA525E">
        <w:rPr>
          <w:spacing w:val="-12"/>
          <w:lang w:val="ca-ES"/>
        </w:rPr>
        <w:t xml:space="preserve"> </w:t>
      </w:r>
      <w:r w:rsidRPr="00CA525E">
        <w:rPr>
          <w:lang w:val="ca-ES"/>
        </w:rPr>
        <w:t>PDI</w:t>
      </w:r>
      <w:r w:rsidRPr="00CA525E">
        <w:rPr>
          <w:spacing w:val="-9"/>
          <w:lang w:val="ca-ES"/>
        </w:rPr>
        <w:t xml:space="preserve"> </w:t>
      </w:r>
      <w:r w:rsidRPr="00CA525E">
        <w:rPr>
          <w:lang w:val="ca-ES"/>
        </w:rPr>
        <w:t>associat</w:t>
      </w:r>
      <w:r w:rsidRPr="00CA525E">
        <w:rPr>
          <w:spacing w:val="-6"/>
          <w:lang w:val="ca-ES"/>
        </w:rPr>
        <w:t xml:space="preserve"> </w:t>
      </w:r>
      <w:r w:rsidR="0038723C">
        <w:rPr>
          <w:lang w:val="ca-ES"/>
        </w:rPr>
        <w:t>equivalent a la del professorat Titular d’Escola Universitària a temps parcial</w:t>
      </w:r>
      <w:r w:rsidR="00867E89">
        <w:rPr>
          <w:lang w:val="ca-ES"/>
        </w:rPr>
        <w:t>,</w:t>
      </w:r>
      <w:r w:rsidR="00867E89" w:rsidRPr="00867E89">
        <w:rPr>
          <w:lang w:val="ca-ES"/>
        </w:rPr>
        <w:t xml:space="preserve"> </w:t>
      </w:r>
      <w:r w:rsidR="00867E89" w:rsidRPr="00CA525E">
        <w:rPr>
          <w:lang w:val="ca-ES"/>
        </w:rPr>
        <w:t>el finançament de la qual se sol·licitarà a la Generalitat Valenciana, juntament amb l’oportuna autorització de la Conselleria d’Hisenda, segons les disposicions normatives contemplades a la Llei de Pressupostos de la Generalitat de</w:t>
      </w:r>
      <w:r w:rsidR="00867E89" w:rsidRPr="00CA525E">
        <w:rPr>
          <w:spacing w:val="-15"/>
          <w:lang w:val="ca-ES"/>
        </w:rPr>
        <w:t xml:space="preserve"> </w:t>
      </w:r>
      <w:r w:rsidR="00867E89" w:rsidRPr="00CA525E">
        <w:rPr>
          <w:lang w:val="ca-ES"/>
        </w:rPr>
        <w:t>2018.</w:t>
      </w:r>
    </w:p>
    <w:p w:rsidR="001D5B97" w:rsidRPr="00CA525E" w:rsidRDefault="00867E89">
      <w:pPr>
        <w:pStyle w:val="Textoindependiente"/>
        <w:spacing w:before="160" w:line="259" w:lineRule="auto"/>
        <w:ind w:right="116"/>
        <w:rPr>
          <w:lang w:val="ca-ES"/>
        </w:rPr>
      </w:pPr>
      <w:r>
        <w:rPr>
          <w:lang w:val="ca-ES"/>
        </w:rPr>
        <w:t>2</w:t>
      </w:r>
      <w:r w:rsidR="0038723C">
        <w:rPr>
          <w:lang w:val="ca-ES"/>
        </w:rPr>
        <w:t>.</w:t>
      </w:r>
      <w:r w:rsidR="005F1307">
        <w:rPr>
          <w:lang w:val="ca-ES"/>
        </w:rPr>
        <w:t>-</w:t>
      </w:r>
      <w:r w:rsidR="0038723C">
        <w:rPr>
          <w:lang w:val="ca-ES"/>
        </w:rPr>
        <w:t xml:space="preserve"> </w:t>
      </w:r>
      <w:r w:rsidR="00976A26">
        <w:rPr>
          <w:lang w:val="ca-ES"/>
        </w:rPr>
        <w:t>L</w:t>
      </w:r>
      <w:r w:rsidR="00357C27" w:rsidRPr="00CA525E">
        <w:rPr>
          <w:lang w:val="ca-ES"/>
        </w:rPr>
        <w:t>a</w:t>
      </w:r>
      <w:r w:rsidR="00357C27" w:rsidRPr="00CA525E">
        <w:rPr>
          <w:spacing w:val="-10"/>
          <w:lang w:val="ca-ES"/>
        </w:rPr>
        <w:t xml:space="preserve"> </w:t>
      </w:r>
      <w:r w:rsidR="00357C27" w:rsidRPr="00CA525E">
        <w:rPr>
          <w:lang w:val="ca-ES"/>
        </w:rPr>
        <w:t>Universitat</w:t>
      </w:r>
      <w:r w:rsidR="00357C27" w:rsidRPr="00CA525E">
        <w:rPr>
          <w:spacing w:val="-12"/>
          <w:lang w:val="ca-ES"/>
        </w:rPr>
        <w:t xml:space="preserve"> </w:t>
      </w:r>
      <w:r w:rsidR="00357C27" w:rsidRPr="00CA525E">
        <w:rPr>
          <w:lang w:val="ca-ES"/>
        </w:rPr>
        <w:t>de</w:t>
      </w:r>
      <w:r w:rsidR="00357C27" w:rsidRPr="00CA525E">
        <w:rPr>
          <w:spacing w:val="-12"/>
          <w:lang w:val="ca-ES"/>
        </w:rPr>
        <w:t xml:space="preserve"> </w:t>
      </w:r>
      <w:r w:rsidR="00357C27" w:rsidRPr="00CA525E">
        <w:rPr>
          <w:lang w:val="ca-ES"/>
        </w:rPr>
        <w:t>València</w:t>
      </w:r>
      <w:r w:rsidR="00357C27" w:rsidRPr="00867E89">
        <w:rPr>
          <w:lang w:val="ca-ES"/>
        </w:rPr>
        <w:t xml:space="preserve"> </w:t>
      </w:r>
      <w:r w:rsidRPr="00867E89">
        <w:rPr>
          <w:lang w:val="ca-ES"/>
        </w:rPr>
        <w:t xml:space="preserve">es compromet a incrementar amb efectes 1 d’abril de 2018 </w:t>
      </w:r>
      <w:r w:rsidR="00357C27" w:rsidRPr="00CA525E">
        <w:rPr>
          <w:lang w:val="ca-ES"/>
        </w:rPr>
        <w:t>les</w:t>
      </w:r>
      <w:r w:rsidR="00357C27" w:rsidRPr="00CA525E">
        <w:rPr>
          <w:spacing w:val="-10"/>
          <w:lang w:val="ca-ES"/>
        </w:rPr>
        <w:t xml:space="preserve"> </w:t>
      </w:r>
      <w:r w:rsidR="00357C27" w:rsidRPr="00CA525E">
        <w:rPr>
          <w:lang w:val="ca-ES"/>
        </w:rPr>
        <w:t>retribucions</w:t>
      </w:r>
      <w:r w:rsidR="00357C27" w:rsidRPr="00CA525E">
        <w:rPr>
          <w:spacing w:val="-12"/>
          <w:lang w:val="ca-ES"/>
        </w:rPr>
        <w:t xml:space="preserve"> </w:t>
      </w:r>
      <w:r w:rsidR="00357C27" w:rsidRPr="00CA525E">
        <w:rPr>
          <w:lang w:val="ca-ES"/>
        </w:rPr>
        <w:t>del professorat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associat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segons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la</w:t>
      </w:r>
      <w:r w:rsidR="00357C27" w:rsidRPr="00CA525E">
        <w:rPr>
          <w:spacing w:val="-5"/>
          <w:lang w:val="ca-ES"/>
        </w:rPr>
        <w:t xml:space="preserve"> </w:t>
      </w:r>
      <w:r w:rsidR="00A379D3">
        <w:rPr>
          <w:spacing w:val="-5"/>
          <w:lang w:val="ca-ES"/>
        </w:rPr>
        <w:t xml:space="preserve">següent </w:t>
      </w:r>
      <w:r w:rsidR="00357C27" w:rsidRPr="00CA525E">
        <w:rPr>
          <w:lang w:val="ca-ES"/>
        </w:rPr>
        <w:t>taula,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per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a</w:t>
      </w:r>
      <w:r w:rsidR="00357C27" w:rsidRPr="00CA525E">
        <w:rPr>
          <w:spacing w:val="-6"/>
          <w:lang w:val="ca-ES"/>
        </w:rPr>
        <w:t xml:space="preserve"> </w:t>
      </w:r>
      <w:r w:rsidR="00357C27" w:rsidRPr="00CA525E">
        <w:rPr>
          <w:lang w:val="ca-ES"/>
        </w:rPr>
        <w:t>cobrir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la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diferència</w:t>
      </w:r>
      <w:r w:rsidR="00357C27" w:rsidRPr="00CA525E">
        <w:rPr>
          <w:spacing w:val="-5"/>
          <w:lang w:val="ca-ES"/>
        </w:rPr>
        <w:t xml:space="preserve"> </w:t>
      </w:r>
      <w:r w:rsidR="0038723C" w:rsidRPr="00CA525E">
        <w:rPr>
          <w:lang w:val="ca-ES"/>
        </w:rPr>
        <w:t>a</w:t>
      </w:r>
      <w:r w:rsidR="0038723C">
        <w:rPr>
          <w:lang w:val="ca-ES"/>
        </w:rPr>
        <w:t>mb</w:t>
      </w:r>
      <w:r w:rsidR="0038723C" w:rsidRPr="00CA525E">
        <w:rPr>
          <w:spacing w:val="-14"/>
          <w:lang w:val="ca-ES"/>
        </w:rPr>
        <w:t xml:space="preserve"> </w:t>
      </w:r>
      <w:r w:rsidR="0038723C" w:rsidRPr="00CA525E">
        <w:rPr>
          <w:lang w:val="ca-ES"/>
        </w:rPr>
        <w:t>la</w:t>
      </w:r>
      <w:r w:rsidR="0038723C" w:rsidRPr="00CA525E">
        <w:rPr>
          <w:spacing w:val="-14"/>
          <w:lang w:val="ca-ES"/>
        </w:rPr>
        <w:t xml:space="preserve"> </w:t>
      </w:r>
      <w:r w:rsidR="0038723C" w:rsidRPr="00CA525E">
        <w:rPr>
          <w:lang w:val="ca-ES"/>
        </w:rPr>
        <w:t xml:space="preserve">quantia de la Universitat </w:t>
      </w:r>
      <w:r>
        <w:rPr>
          <w:lang w:val="ca-ES"/>
        </w:rPr>
        <w:t xml:space="preserve">pública valenciana </w:t>
      </w:r>
      <w:r w:rsidR="0038723C" w:rsidRPr="00CA525E">
        <w:rPr>
          <w:lang w:val="ca-ES"/>
        </w:rPr>
        <w:t xml:space="preserve">amb major import retributiu, </w:t>
      </w:r>
      <w:r w:rsidR="00357C27" w:rsidRPr="00CA525E">
        <w:rPr>
          <w:lang w:val="ca-ES"/>
        </w:rPr>
        <w:t>el finançament de la qual se sol·licitarà a la Generalitat Valenciana, juntament amb l’oportuna autorització de la Conselleria d’Hisenda, segons les disposicions normatives contemplades a la Llei de Pressupostos de la Generalitat de</w:t>
      </w:r>
      <w:r w:rsidR="00357C27" w:rsidRPr="00CA525E">
        <w:rPr>
          <w:spacing w:val="-15"/>
          <w:lang w:val="ca-ES"/>
        </w:rPr>
        <w:t xml:space="preserve"> </w:t>
      </w:r>
      <w:r w:rsidR="00357C27" w:rsidRPr="00CA525E">
        <w:rPr>
          <w:lang w:val="ca-ES"/>
        </w:rPr>
        <w:t>2018.</w:t>
      </w:r>
      <w:r w:rsidR="007D4F8F">
        <w:rPr>
          <w:lang w:val="ca-ES"/>
        </w:rPr>
        <w:t xml:space="preserve"> Així mateix, es respectaran les condicions més beneficioses ja aplicades a la Universitat de València pel que fa al complement d’antiguitat (triennis).</w:t>
      </w:r>
    </w:p>
    <w:p w:rsidR="001D5B97" w:rsidRPr="00CA525E" w:rsidRDefault="001D5B97">
      <w:pPr>
        <w:pStyle w:val="Textoindependiente"/>
        <w:spacing w:before="4"/>
        <w:ind w:left="0" w:right="0"/>
        <w:jc w:val="left"/>
        <w:rPr>
          <w:sz w:val="13"/>
          <w:lang w:val="ca-ES"/>
        </w:rPr>
      </w:pPr>
    </w:p>
    <w:tbl>
      <w:tblPr>
        <w:tblStyle w:val="TableNormal"/>
        <w:tblW w:w="0" w:type="auto"/>
        <w:tblInd w:w="101" w:type="dxa"/>
        <w:tblBorders>
          <w:top w:val="single" w:sz="5" w:space="0" w:color="D5D5D5"/>
          <w:left w:val="single" w:sz="5" w:space="0" w:color="D5D5D5"/>
          <w:bottom w:val="single" w:sz="5" w:space="0" w:color="D5D5D5"/>
          <w:right w:val="single" w:sz="5" w:space="0" w:color="D5D5D5"/>
          <w:insideH w:val="single" w:sz="5" w:space="0" w:color="D5D5D5"/>
          <w:insideV w:val="single" w:sz="5" w:space="0" w:color="D5D5D5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045"/>
        <w:gridCol w:w="1162"/>
        <w:gridCol w:w="1045"/>
        <w:gridCol w:w="1032"/>
        <w:gridCol w:w="1045"/>
        <w:gridCol w:w="1032"/>
        <w:gridCol w:w="1038"/>
      </w:tblGrid>
      <w:tr w:rsidR="001D5B97" w:rsidRPr="00CA525E">
        <w:trPr>
          <w:trHeight w:hRule="exact" w:val="264"/>
        </w:trPr>
        <w:tc>
          <w:tcPr>
            <w:tcW w:w="1071" w:type="dxa"/>
            <w:tcBorders>
              <w:right w:val="single" w:sz="10" w:space="0" w:color="000000"/>
            </w:tcBorders>
          </w:tcPr>
          <w:p w:rsidR="001D5B97" w:rsidRPr="00CA525E" w:rsidRDefault="001D5B97">
            <w:pPr>
              <w:rPr>
                <w:lang w:val="ca-ES"/>
              </w:rPr>
            </w:pPr>
          </w:p>
        </w:tc>
        <w:tc>
          <w:tcPr>
            <w:tcW w:w="220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90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Retribucions  actuals 2017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46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Proposta</w:t>
            </w:r>
          </w:p>
        </w:tc>
        <w:tc>
          <w:tcPr>
            <w:tcW w:w="1032" w:type="dxa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1D5B97">
            <w:pPr>
              <w:rPr>
                <w:lang w:val="ca-ES"/>
              </w:rPr>
            </w:pPr>
          </w:p>
        </w:tc>
        <w:tc>
          <w:tcPr>
            <w:tcW w:w="104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68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Diferència</w:t>
            </w:r>
          </w:p>
        </w:tc>
        <w:tc>
          <w:tcPr>
            <w:tcW w:w="1032" w:type="dxa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1D5B97">
            <w:pPr>
              <w:rPr>
                <w:lang w:val="ca-ES"/>
              </w:rPr>
            </w:pPr>
          </w:p>
        </w:tc>
        <w:tc>
          <w:tcPr>
            <w:tcW w:w="103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9"/>
              <w:rPr>
                <w:sz w:val="19"/>
                <w:lang w:val="ca-ES"/>
              </w:rPr>
            </w:pPr>
            <w:r w:rsidRPr="00CA525E">
              <w:rPr>
                <w:w w:val="102"/>
                <w:sz w:val="19"/>
                <w:lang w:val="ca-ES"/>
              </w:rPr>
              <w:t>%</w:t>
            </w:r>
            <w:r w:rsidR="007D4F8F">
              <w:rPr>
                <w:w w:val="102"/>
                <w:sz w:val="19"/>
                <w:lang w:val="ca-ES"/>
              </w:rPr>
              <w:t xml:space="preserve"> augment</w:t>
            </w:r>
          </w:p>
        </w:tc>
      </w:tr>
      <w:tr w:rsidR="001D5B97" w:rsidRPr="00CA525E">
        <w:trPr>
          <w:trHeight w:hRule="exact" w:val="271"/>
        </w:trPr>
        <w:tc>
          <w:tcPr>
            <w:tcW w:w="1071" w:type="dxa"/>
            <w:tcBorders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1D5B97">
            <w:pPr>
              <w:rPr>
                <w:lang w:val="ca-ES"/>
              </w:rPr>
            </w:pPr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5" w:right="12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Sou</w:t>
            </w:r>
          </w:p>
        </w:tc>
        <w:tc>
          <w:tcPr>
            <w:tcW w:w="116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 w:rsidP="007D4F8F">
            <w:pPr>
              <w:pStyle w:val="TableParagraph"/>
              <w:ind w:left="311"/>
              <w:jc w:val="left"/>
              <w:rPr>
                <w:sz w:val="19"/>
                <w:lang w:val="ca-ES"/>
              </w:rPr>
            </w:pPr>
            <w:proofErr w:type="spellStart"/>
            <w:r w:rsidRPr="00CA525E">
              <w:rPr>
                <w:sz w:val="19"/>
                <w:lang w:val="ca-ES"/>
              </w:rPr>
              <w:t>S</w:t>
            </w:r>
            <w:r w:rsidR="007D4F8F">
              <w:rPr>
                <w:sz w:val="19"/>
                <w:lang w:val="ca-ES"/>
              </w:rPr>
              <w:t>.S</w:t>
            </w:r>
            <w:r w:rsidRPr="00CA525E">
              <w:rPr>
                <w:sz w:val="19"/>
                <w:lang w:val="ca-ES"/>
              </w:rPr>
              <w:t>ocial</w:t>
            </w:r>
            <w:proofErr w:type="spellEnd"/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5" w:right="12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Sou</w:t>
            </w:r>
          </w:p>
        </w:tc>
        <w:tc>
          <w:tcPr>
            <w:tcW w:w="103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 w:rsidP="007D4F8F">
            <w:pPr>
              <w:pStyle w:val="TableParagraph"/>
              <w:ind w:right="225"/>
              <w:jc w:val="right"/>
              <w:rPr>
                <w:sz w:val="19"/>
                <w:lang w:val="ca-ES"/>
              </w:rPr>
            </w:pPr>
            <w:proofErr w:type="spellStart"/>
            <w:r w:rsidRPr="00CA525E">
              <w:rPr>
                <w:sz w:val="19"/>
                <w:lang w:val="ca-ES"/>
              </w:rPr>
              <w:t>S</w:t>
            </w:r>
            <w:r w:rsidR="007D4F8F">
              <w:rPr>
                <w:sz w:val="19"/>
                <w:lang w:val="ca-ES"/>
              </w:rPr>
              <w:t>.S</w:t>
            </w:r>
            <w:r w:rsidRPr="00CA525E">
              <w:rPr>
                <w:sz w:val="19"/>
                <w:lang w:val="ca-ES"/>
              </w:rPr>
              <w:t>ocial</w:t>
            </w:r>
            <w:proofErr w:type="spellEnd"/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5" w:right="12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Sou</w:t>
            </w:r>
          </w:p>
        </w:tc>
        <w:tc>
          <w:tcPr>
            <w:tcW w:w="103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 w:rsidP="007D4F8F">
            <w:pPr>
              <w:pStyle w:val="TableParagraph"/>
              <w:ind w:left="193" w:right="175"/>
              <w:rPr>
                <w:sz w:val="19"/>
                <w:lang w:val="ca-ES"/>
              </w:rPr>
            </w:pPr>
            <w:proofErr w:type="spellStart"/>
            <w:r w:rsidRPr="00CA525E">
              <w:rPr>
                <w:sz w:val="19"/>
                <w:lang w:val="ca-ES"/>
              </w:rPr>
              <w:t>S</w:t>
            </w:r>
            <w:r w:rsidR="007D4F8F">
              <w:rPr>
                <w:sz w:val="19"/>
                <w:lang w:val="ca-ES"/>
              </w:rPr>
              <w:t>.S</w:t>
            </w:r>
            <w:r w:rsidRPr="00CA525E">
              <w:rPr>
                <w:sz w:val="19"/>
                <w:lang w:val="ca-ES"/>
              </w:rPr>
              <w:t>ocial</w:t>
            </w:r>
            <w:proofErr w:type="spellEnd"/>
          </w:p>
        </w:tc>
        <w:tc>
          <w:tcPr>
            <w:tcW w:w="10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1D5B97">
            <w:pPr>
              <w:rPr>
                <w:lang w:val="ca-ES"/>
              </w:rPr>
            </w:pPr>
          </w:p>
        </w:tc>
      </w:tr>
      <w:tr w:rsidR="001D5B97" w:rsidRPr="00CA525E">
        <w:trPr>
          <w:trHeight w:hRule="exact" w:val="264"/>
        </w:trPr>
        <w:tc>
          <w:tcPr>
            <w:tcW w:w="1071" w:type="dxa"/>
            <w:tcBorders>
              <w:top w:val="single" w:sz="10" w:space="0" w:color="000000"/>
              <w:left w:val="single" w:sz="5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" w:right="23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Associats 3H</w:t>
            </w:r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4" w:right="186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3.628,94</w:t>
            </w:r>
          </w:p>
        </w:tc>
        <w:tc>
          <w:tcPr>
            <w:tcW w:w="1162" w:type="dxa"/>
            <w:tcBorders>
              <w:top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8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1.201,18</w:t>
            </w:r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4.551,10</w:t>
            </w:r>
          </w:p>
        </w:tc>
        <w:tc>
          <w:tcPr>
            <w:tcW w:w="1032" w:type="dxa"/>
            <w:tcBorders>
              <w:top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right="205"/>
              <w:jc w:val="righ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1.506,41</w:t>
            </w:r>
          </w:p>
        </w:tc>
        <w:tc>
          <w:tcPr>
            <w:tcW w:w="1045" w:type="dxa"/>
            <w:tcBorders>
              <w:top w:val="single" w:sz="10" w:space="0" w:color="000000"/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98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922,16</w:t>
            </w:r>
          </w:p>
        </w:tc>
        <w:tc>
          <w:tcPr>
            <w:tcW w:w="1032" w:type="dxa"/>
            <w:tcBorders>
              <w:top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02" w:right="111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305,23</w:t>
            </w:r>
          </w:p>
        </w:tc>
        <w:tc>
          <w:tcPr>
            <w:tcW w:w="1038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6" w:right="17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25,41%</w:t>
            </w:r>
          </w:p>
        </w:tc>
      </w:tr>
      <w:tr w:rsidR="001D5B97" w:rsidRPr="00CA525E">
        <w:trPr>
          <w:trHeight w:hRule="exact" w:val="258"/>
        </w:trPr>
        <w:tc>
          <w:tcPr>
            <w:tcW w:w="1071" w:type="dxa"/>
            <w:tcBorders>
              <w:left w:val="single" w:sz="5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" w:right="23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Associats 4H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4" w:right="186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4.838,68</w:t>
            </w:r>
          </w:p>
        </w:tc>
        <w:tc>
          <w:tcPr>
            <w:tcW w:w="116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8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1.601,60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6.068,32</w:t>
            </w:r>
          </w:p>
        </w:tc>
        <w:tc>
          <w:tcPr>
            <w:tcW w:w="103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right="205"/>
              <w:jc w:val="righ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2.008,61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1.229,64</w:t>
            </w:r>
          </w:p>
        </w:tc>
        <w:tc>
          <w:tcPr>
            <w:tcW w:w="103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02" w:right="111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407,01</w:t>
            </w:r>
          </w:p>
        </w:tc>
        <w:tc>
          <w:tcPr>
            <w:tcW w:w="1038" w:type="dxa"/>
            <w:tcBorders>
              <w:left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7" w:right="17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25,41%</w:t>
            </w:r>
          </w:p>
        </w:tc>
      </w:tr>
      <w:tr w:rsidR="001D5B97" w:rsidRPr="00CA525E">
        <w:trPr>
          <w:trHeight w:hRule="exact" w:val="258"/>
        </w:trPr>
        <w:tc>
          <w:tcPr>
            <w:tcW w:w="1071" w:type="dxa"/>
            <w:tcBorders>
              <w:left w:val="single" w:sz="5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" w:right="23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Associats 5H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4" w:right="186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6.048,14</w:t>
            </w:r>
          </w:p>
        </w:tc>
        <w:tc>
          <w:tcPr>
            <w:tcW w:w="116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8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2.001,93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7.585,40</w:t>
            </w:r>
          </w:p>
        </w:tc>
        <w:tc>
          <w:tcPr>
            <w:tcW w:w="103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right="205"/>
              <w:jc w:val="righ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2.510,77</w:t>
            </w:r>
          </w:p>
        </w:tc>
        <w:tc>
          <w:tcPr>
            <w:tcW w:w="1045" w:type="dxa"/>
            <w:tcBorders>
              <w:lef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6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1.537,26</w:t>
            </w:r>
          </w:p>
        </w:tc>
        <w:tc>
          <w:tcPr>
            <w:tcW w:w="1032" w:type="dxa"/>
            <w:tcBorders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02" w:right="110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508,83</w:t>
            </w:r>
          </w:p>
        </w:tc>
        <w:tc>
          <w:tcPr>
            <w:tcW w:w="1038" w:type="dxa"/>
            <w:tcBorders>
              <w:left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7" w:right="17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25,42%</w:t>
            </w:r>
          </w:p>
        </w:tc>
      </w:tr>
      <w:tr w:rsidR="001D5B97" w:rsidRPr="00CA525E">
        <w:trPr>
          <w:trHeight w:hRule="exact" w:val="264"/>
        </w:trPr>
        <w:tc>
          <w:tcPr>
            <w:tcW w:w="1071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8" w:right="23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Associats 6H</w:t>
            </w:r>
          </w:p>
        </w:tc>
        <w:tc>
          <w:tcPr>
            <w:tcW w:w="1045" w:type="dxa"/>
            <w:tcBorders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25" w:right="186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7.257,60</w:t>
            </w:r>
          </w:p>
        </w:tc>
        <w:tc>
          <w:tcPr>
            <w:tcW w:w="1162" w:type="dxa"/>
            <w:tcBorders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85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2.402,27</w:t>
            </w:r>
          </w:p>
        </w:tc>
        <w:tc>
          <w:tcPr>
            <w:tcW w:w="1045" w:type="dxa"/>
            <w:tcBorders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6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9.102,34</w:t>
            </w:r>
          </w:p>
        </w:tc>
        <w:tc>
          <w:tcPr>
            <w:tcW w:w="1032" w:type="dxa"/>
            <w:tcBorders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right="204"/>
              <w:jc w:val="righ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3.012,87</w:t>
            </w:r>
          </w:p>
        </w:tc>
        <w:tc>
          <w:tcPr>
            <w:tcW w:w="1045" w:type="dxa"/>
            <w:tcBorders>
              <w:left w:val="single" w:sz="10" w:space="0" w:color="000000"/>
              <w:bottom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56"/>
              <w:jc w:val="left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1.844,74</w:t>
            </w:r>
          </w:p>
        </w:tc>
        <w:tc>
          <w:tcPr>
            <w:tcW w:w="1032" w:type="dxa"/>
            <w:tcBorders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202" w:right="110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610,61</w:t>
            </w:r>
          </w:p>
        </w:tc>
        <w:tc>
          <w:tcPr>
            <w:tcW w:w="103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D5B97" w:rsidRPr="00CA525E" w:rsidRDefault="00357C27">
            <w:pPr>
              <w:pStyle w:val="TableParagraph"/>
              <w:ind w:left="178" w:right="175"/>
              <w:rPr>
                <w:sz w:val="19"/>
                <w:lang w:val="ca-ES"/>
              </w:rPr>
            </w:pPr>
            <w:r w:rsidRPr="00CA525E">
              <w:rPr>
                <w:sz w:val="19"/>
                <w:lang w:val="ca-ES"/>
              </w:rPr>
              <w:t>25,42%</w:t>
            </w:r>
          </w:p>
        </w:tc>
      </w:tr>
    </w:tbl>
    <w:p w:rsidR="001D5B97" w:rsidRPr="00CA525E" w:rsidRDefault="001D5B97">
      <w:pPr>
        <w:pStyle w:val="Textoindependiente"/>
        <w:spacing w:before="3"/>
        <w:ind w:left="0" w:right="0"/>
        <w:jc w:val="left"/>
        <w:rPr>
          <w:sz w:val="16"/>
          <w:lang w:val="ca-ES"/>
        </w:rPr>
      </w:pPr>
    </w:p>
    <w:p w:rsidR="00A379D3" w:rsidRDefault="00A379D3">
      <w:pPr>
        <w:pStyle w:val="Textoindependiente"/>
        <w:spacing w:before="0" w:line="259" w:lineRule="auto"/>
        <w:rPr>
          <w:lang w:val="ca-ES"/>
        </w:rPr>
      </w:pPr>
    </w:p>
    <w:p w:rsidR="00A379D3" w:rsidRDefault="00867E89">
      <w:pPr>
        <w:pStyle w:val="Textoindependiente"/>
        <w:spacing w:before="0" w:line="259" w:lineRule="auto"/>
        <w:rPr>
          <w:lang w:val="ca-ES"/>
        </w:rPr>
      </w:pPr>
      <w:r>
        <w:rPr>
          <w:lang w:val="ca-ES"/>
        </w:rPr>
        <w:t xml:space="preserve">3.- </w:t>
      </w:r>
      <w:r w:rsidR="00A379D3">
        <w:rPr>
          <w:lang w:val="ca-ES"/>
        </w:rPr>
        <w:t>A</w:t>
      </w:r>
      <w:r>
        <w:rPr>
          <w:lang w:val="ca-ES"/>
        </w:rPr>
        <w:t xml:space="preserve">mb efectes </w:t>
      </w:r>
      <w:r w:rsidR="00A379D3">
        <w:rPr>
          <w:lang w:val="ca-ES"/>
        </w:rPr>
        <w:t>1 d</w:t>
      </w:r>
      <w:r>
        <w:rPr>
          <w:lang w:val="ca-ES"/>
        </w:rPr>
        <w:t>’abril</w:t>
      </w:r>
      <w:r w:rsidR="00A379D3">
        <w:rPr>
          <w:lang w:val="ca-ES"/>
        </w:rPr>
        <w:t xml:space="preserve"> de 2018, la Universitat de València incorporarà en la retribució del PDI associat un </w:t>
      </w:r>
      <w:r>
        <w:rPr>
          <w:lang w:val="ca-ES"/>
        </w:rPr>
        <w:t>5</w:t>
      </w:r>
      <w:r w:rsidR="00A379D3">
        <w:rPr>
          <w:lang w:val="ca-ES"/>
        </w:rPr>
        <w:t xml:space="preserve">0% de la diferència reflectida en la taula anterior, amb </w:t>
      </w:r>
      <w:r w:rsidR="007D4F8F">
        <w:rPr>
          <w:lang w:val="ca-ES"/>
        </w:rPr>
        <w:t>l’</w:t>
      </w:r>
      <w:r w:rsidR="00A379D3">
        <w:rPr>
          <w:lang w:val="ca-ES"/>
        </w:rPr>
        <w:t xml:space="preserve">autorització prèvia de la Conselleria d’Hisenda, encara que no es compte amb el finançament sol·licitat a la Generalitat Valenciana. </w:t>
      </w:r>
      <w:r w:rsidR="00C97778">
        <w:rPr>
          <w:lang w:val="ca-ES"/>
        </w:rPr>
        <w:t xml:space="preserve">En qualsevol cas, la Universitat de València aplicarà les millors condicions de retribució que </w:t>
      </w:r>
      <w:proofErr w:type="spellStart"/>
      <w:r w:rsidR="00C97778">
        <w:rPr>
          <w:lang w:val="ca-ES"/>
        </w:rPr>
        <w:t>puguen</w:t>
      </w:r>
      <w:proofErr w:type="spellEnd"/>
      <w:r w:rsidR="00C97778">
        <w:rPr>
          <w:lang w:val="ca-ES"/>
        </w:rPr>
        <w:t xml:space="preserve"> derivar-se d</w:t>
      </w:r>
      <w:r w:rsidR="00A379D3">
        <w:rPr>
          <w:lang w:val="ca-ES"/>
        </w:rPr>
        <w:t xml:space="preserve">el conveni col·lectiu </w:t>
      </w:r>
      <w:r w:rsidR="00A379D3" w:rsidRPr="00CA525E">
        <w:rPr>
          <w:lang w:val="ca-ES"/>
        </w:rPr>
        <w:t>del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personal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laboral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de</w:t>
      </w:r>
      <w:r w:rsidR="00A379D3" w:rsidRPr="00CA525E">
        <w:rPr>
          <w:spacing w:val="-7"/>
          <w:lang w:val="ca-ES"/>
        </w:rPr>
        <w:t xml:space="preserve"> </w:t>
      </w:r>
      <w:r w:rsidR="00A379D3" w:rsidRPr="00CA525E">
        <w:rPr>
          <w:lang w:val="ca-ES"/>
        </w:rPr>
        <w:t>les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Universitats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Públiques</w:t>
      </w:r>
      <w:r w:rsidR="00A379D3" w:rsidRPr="00CA525E">
        <w:rPr>
          <w:spacing w:val="-8"/>
          <w:lang w:val="ca-ES"/>
        </w:rPr>
        <w:t xml:space="preserve"> </w:t>
      </w:r>
      <w:r w:rsidR="00A379D3" w:rsidRPr="00CA525E">
        <w:rPr>
          <w:lang w:val="ca-ES"/>
        </w:rPr>
        <w:t>Valencianes</w:t>
      </w:r>
      <w:r w:rsidR="00A379D3">
        <w:rPr>
          <w:lang w:val="ca-ES"/>
        </w:rPr>
        <w:t>.</w:t>
      </w:r>
    </w:p>
    <w:p w:rsidR="00A379D3" w:rsidRDefault="00A379D3">
      <w:pPr>
        <w:pStyle w:val="Textoindependiente"/>
        <w:spacing w:before="0" w:line="259" w:lineRule="auto"/>
        <w:rPr>
          <w:lang w:val="ca-ES"/>
        </w:rPr>
      </w:pPr>
    </w:p>
    <w:p w:rsidR="001D5B97" w:rsidRPr="00CA525E" w:rsidRDefault="005F1307">
      <w:pPr>
        <w:spacing w:before="158" w:line="259" w:lineRule="auto"/>
        <w:ind w:left="100" w:right="116"/>
        <w:jc w:val="both"/>
        <w:rPr>
          <w:lang w:val="ca-ES"/>
        </w:rPr>
      </w:pPr>
      <w:r>
        <w:rPr>
          <w:lang w:val="ca-ES"/>
        </w:rPr>
        <w:t xml:space="preserve">4.- Pel que fa a la </w:t>
      </w:r>
      <w:r w:rsidR="00357C27" w:rsidRPr="00CA525E">
        <w:rPr>
          <w:lang w:val="ca-ES"/>
        </w:rPr>
        <w:t>dura</w:t>
      </w:r>
      <w:r>
        <w:rPr>
          <w:lang w:val="ca-ES"/>
        </w:rPr>
        <w:t>da</w:t>
      </w:r>
      <w:r w:rsidR="00357C27" w:rsidRPr="00CA525E">
        <w:rPr>
          <w:spacing w:val="-4"/>
          <w:lang w:val="ca-ES"/>
        </w:rPr>
        <w:t xml:space="preserve"> </w:t>
      </w:r>
      <w:r w:rsidR="00357C27" w:rsidRPr="00CA525E">
        <w:rPr>
          <w:lang w:val="ca-ES"/>
        </w:rPr>
        <w:t>del</w:t>
      </w:r>
      <w:r w:rsidR="00357C27" w:rsidRPr="00CA525E">
        <w:rPr>
          <w:spacing w:val="-6"/>
          <w:lang w:val="ca-ES"/>
        </w:rPr>
        <w:t xml:space="preserve"> </w:t>
      </w:r>
      <w:r w:rsidR="00357C27" w:rsidRPr="00CA525E">
        <w:rPr>
          <w:lang w:val="ca-ES"/>
        </w:rPr>
        <w:t>contracte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de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professorat</w:t>
      </w:r>
      <w:r w:rsidR="00357C27" w:rsidRPr="00CA525E">
        <w:rPr>
          <w:spacing w:val="-7"/>
          <w:lang w:val="ca-ES"/>
        </w:rPr>
        <w:t xml:space="preserve"> </w:t>
      </w:r>
      <w:r w:rsidR="00357C27" w:rsidRPr="00CA525E">
        <w:rPr>
          <w:lang w:val="ca-ES"/>
        </w:rPr>
        <w:t>associat,</w:t>
      </w:r>
      <w:r w:rsidR="00357C27" w:rsidRPr="00CA525E">
        <w:rPr>
          <w:spacing w:val="-8"/>
          <w:lang w:val="ca-ES"/>
        </w:rPr>
        <w:t xml:space="preserve"> </w:t>
      </w:r>
      <w:r w:rsidR="00357C27" w:rsidRPr="00CA525E">
        <w:rPr>
          <w:lang w:val="ca-ES"/>
        </w:rPr>
        <w:t>l’article</w:t>
      </w:r>
      <w:r w:rsidR="00357C27" w:rsidRPr="00CA525E">
        <w:rPr>
          <w:spacing w:val="-7"/>
          <w:lang w:val="ca-ES"/>
        </w:rPr>
        <w:t xml:space="preserve"> </w:t>
      </w:r>
      <w:r w:rsidR="00357C27" w:rsidRPr="00CA525E">
        <w:rPr>
          <w:lang w:val="ca-ES"/>
        </w:rPr>
        <w:t>53</w:t>
      </w:r>
      <w:r w:rsidR="00357C27" w:rsidRPr="00CA525E">
        <w:rPr>
          <w:spacing w:val="-7"/>
          <w:lang w:val="ca-ES"/>
        </w:rPr>
        <w:t xml:space="preserve"> </w:t>
      </w:r>
      <w:r w:rsidR="00357C27" w:rsidRPr="00CA525E">
        <w:rPr>
          <w:lang w:val="ca-ES"/>
        </w:rPr>
        <w:t>d)</w:t>
      </w:r>
      <w:r w:rsidR="00357C27" w:rsidRPr="00CA525E">
        <w:rPr>
          <w:spacing w:val="-7"/>
          <w:lang w:val="ca-ES"/>
        </w:rPr>
        <w:t xml:space="preserve"> </w:t>
      </w:r>
      <w:r w:rsidR="00357C27" w:rsidRPr="00CA525E">
        <w:rPr>
          <w:lang w:val="ca-ES"/>
        </w:rPr>
        <w:t>de</w:t>
      </w:r>
      <w:r w:rsidR="00357C27" w:rsidRPr="00CA525E">
        <w:rPr>
          <w:spacing w:val="-5"/>
          <w:lang w:val="ca-ES"/>
        </w:rPr>
        <w:t xml:space="preserve"> </w:t>
      </w:r>
      <w:r w:rsidR="00357C27" w:rsidRPr="00CA525E">
        <w:rPr>
          <w:lang w:val="ca-ES"/>
        </w:rPr>
        <w:t>la</w:t>
      </w:r>
      <w:r w:rsidR="00357C27" w:rsidRPr="00CA525E">
        <w:rPr>
          <w:spacing w:val="-6"/>
          <w:lang w:val="ca-ES"/>
        </w:rPr>
        <w:t xml:space="preserve"> </w:t>
      </w:r>
      <w:r w:rsidR="00357C27" w:rsidRPr="00CA525E">
        <w:rPr>
          <w:lang w:val="ca-ES"/>
        </w:rPr>
        <w:t>Llei</w:t>
      </w:r>
      <w:r w:rsidR="00357C27" w:rsidRPr="00CA525E">
        <w:rPr>
          <w:spacing w:val="-8"/>
          <w:lang w:val="ca-ES"/>
        </w:rPr>
        <w:t xml:space="preserve"> </w:t>
      </w:r>
      <w:r w:rsidR="00357C27" w:rsidRPr="00CA525E">
        <w:rPr>
          <w:lang w:val="ca-ES"/>
        </w:rPr>
        <w:t xml:space="preserve">Orgànica d’universitats estableix que: </w:t>
      </w:r>
      <w:r w:rsidR="00357C27" w:rsidRPr="00CA525E">
        <w:rPr>
          <w:i/>
          <w:lang w:val="ca-ES"/>
        </w:rPr>
        <w:t xml:space="preserve">“La </w:t>
      </w:r>
      <w:proofErr w:type="spellStart"/>
      <w:r w:rsidR="00357C27" w:rsidRPr="00CA525E">
        <w:rPr>
          <w:i/>
          <w:lang w:val="ca-ES"/>
        </w:rPr>
        <w:t>duración</w:t>
      </w:r>
      <w:proofErr w:type="spellEnd"/>
      <w:r w:rsidR="00357C27" w:rsidRPr="00CA525E">
        <w:rPr>
          <w:i/>
          <w:lang w:val="ca-ES"/>
        </w:rPr>
        <w:t xml:space="preserve"> del </w:t>
      </w:r>
      <w:proofErr w:type="spellStart"/>
      <w:r w:rsidR="00357C27" w:rsidRPr="00CA525E">
        <w:rPr>
          <w:i/>
          <w:lang w:val="ca-ES"/>
        </w:rPr>
        <w:t>contrato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será</w:t>
      </w:r>
      <w:proofErr w:type="spellEnd"/>
      <w:r w:rsidR="00357C27" w:rsidRPr="00CA525E">
        <w:rPr>
          <w:i/>
          <w:lang w:val="ca-ES"/>
        </w:rPr>
        <w:t xml:space="preserve"> trimestral, semestral o anual, y se </w:t>
      </w:r>
      <w:proofErr w:type="spellStart"/>
      <w:r w:rsidR="00357C27" w:rsidRPr="00CA525E">
        <w:rPr>
          <w:i/>
          <w:lang w:val="ca-ES"/>
        </w:rPr>
        <w:t>podrá</w:t>
      </w:r>
      <w:proofErr w:type="spellEnd"/>
      <w:r w:rsidR="00357C27" w:rsidRPr="00CA525E">
        <w:rPr>
          <w:i/>
          <w:lang w:val="ca-ES"/>
        </w:rPr>
        <w:t xml:space="preserve"> renovar por </w:t>
      </w:r>
      <w:proofErr w:type="spellStart"/>
      <w:r w:rsidR="00357C27" w:rsidRPr="00CA525E">
        <w:rPr>
          <w:i/>
          <w:lang w:val="ca-ES"/>
        </w:rPr>
        <w:t>períodos</w:t>
      </w:r>
      <w:proofErr w:type="spellEnd"/>
      <w:r w:rsidR="00357C27" w:rsidRPr="00CA525E">
        <w:rPr>
          <w:i/>
          <w:lang w:val="ca-ES"/>
        </w:rPr>
        <w:t xml:space="preserve"> de igual </w:t>
      </w:r>
      <w:proofErr w:type="spellStart"/>
      <w:r w:rsidR="00357C27" w:rsidRPr="00CA525E">
        <w:rPr>
          <w:i/>
          <w:lang w:val="ca-ES"/>
        </w:rPr>
        <w:t>duración</w:t>
      </w:r>
      <w:proofErr w:type="spellEnd"/>
      <w:r w:rsidR="00357C27" w:rsidRPr="00CA525E">
        <w:rPr>
          <w:i/>
          <w:lang w:val="ca-ES"/>
        </w:rPr>
        <w:t xml:space="preserve">, </w:t>
      </w:r>
      <w:proofErr w:type="spellStart"/>
      <w:r w:rsidR="00357C27" w:rsidRPr="00CA525E">
        <w:rPr>
          <w:i/>
          <w:lang w:val="ca-ES"/>
        </w:rPr>
        <w:t>siempre</w:t>
      </w:r>
      <w:proofErr w:type="spellEnd"/>
      <w:r w:rsidR="00357C27" w:rsidRPr="00CA525E">
        <w:rPr>
          <w:i/>
          <w:lang w:val="ca-ES"/>
        </w:rPr>
        <w:t xml:space="preserve"> que se </w:t>
      </w:r>
      <w:proofErr w:type="spellStart"/>
      <w:r w:rsidR="00357C27" w:rsidRPr="00CA525E">
        <w:rPr>
          <w:i/>
          <w:lang w:val="ca-ES"/>
        </w:rPr>
        <w:t>siga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acreditando</w:t>
      </w:r>
      <w:proofErr w:type="spellEnd"/>
      <w:r w:rsidR="00357C27" w:rsidRPr="00CA525E">
        <w:rPr>
          <w:i/>
          <w:lang w:val="ca-ES"/>
        </w:rPr>
        <w:t xml:space="preserve"> el </w:t>
      </w:r>
      <w:proofErr w:type="spellStart"/>
      <w:r w:rsidR="00357C27" w:rsidRPr="00CA525E">
        <w:rPr>
          <w:i/>
          <w:lang w:val="ca-ES"/>
        </w:rPr>
        <w:t>ejercicio</w:t>
      </w:r>
      <w:proofErr w:type="spellEnd"/>
      <w:r w:rsidR="00357C27" w:rsidRPr="00CA525E">
        <w:rPr>
          <w:i/>
          <w:lang w:val="ca-ES"/>
        </w:rPr>
        <w:t xml:space="preserve"> de la </w:t>
      </w:r>
      <w:proofErr w:type="spellStart"/>
      <w:r w:rsidR="00357C27" w:rsidRPr="00CA525E">
        <w:rPr>
          <w:i/>
          <w:lang w:val="ca-ES"/>
        </w:rPr>
        <w:t>actividad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profesional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fuera</w:t>
      </w:r>
      <w:proofErr w:type="spellEnd"/>
      <w:r w:rsidR="00357C27" w:rsidRPr="00CA525E">
        <w:rPr>
          <w:i/>
          <w:lang w:val="ca-ES"/>
        </w:rPr>
        <w:t xml:space="preserve"> del </w:t>
      </w:r>
      <w:proofErr w:type="spellStart"/>
      <w:r w:rsidR="00357C27" w:rsidRPr="00CA525E">
        <w:rPr>
          <w:i/>
          <w:lang w:val="ca-ES"/>
        </w:rPr>
        <w:t>ámbito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académico</w:t>
      </w:r>
      <w:proofErr w:type="spellEnd"/>
      <w:r w:rsidR="00357C27" w:rsidRPr="00CA525E">
        <w:rPr>
          <w:i/>
          <w:lang w:val="ca-ES"/>
        </w:rPr>
        <w:t xml:space="preserve"> </w:t>
      </w:r>
      <w:proofErr w:type="spellStart"/>
      <w:r w:rsidR="00357C27" w:rsidRPr="00CA525E">
        <w:rPr>
          <w:i/>
          <w:lang w:val="ca-ES"/>
        </w:rPr>
        <w:t>universitario</w:t>
      </w:r>
      <w:proofErr w:type="spellEnd"/>
      <w:r w:rsidR="00357C27" w:rsidRPr="00CA525E">
        <w:rPr>
          <w:i/>
          <w:lang w:val="ca-ES"/>
        </w:rPr>
        <w:t>”</w:t>
      </w:r>
      <w:r w:rsidR="00357C27" w:rsidRPr="00CA525E">
        <w:rPr>
          <w:lang w:val="ca-ES"/>
        </w:rPr>
        <w:t xml:space="preserve">, sense que la Universitat </w:t>
      </w:r>
      <w:proofErr w:type="spellStart"/>
      <w:r w:rsidR="00357C27" w:rsidRPr="00CA525E">
        <w:rPr>
          <w:lang w:val="ca-ES"/>
        </w:rPr>
        <w:t>puga</w:t>
      </w:r>
      <w:proofErr w:type="spellEnd"/>
      <w:r w:rsidR="00357C27" w:rsidRPr="00CA525E">
        <w:rPr>
          <w:lang w:val="ca-ES"/>
        </w:rPr>
        <w:t xml:space="preserve"> en cap cas modificar el contingut de la Llei.</w:t>
      </w:r>
      <w:r>
        <w:rPr>
          <w:lang w:val="ca-ES"/>
        </w:rPr>
        <w:t xml:space="preserve"> No obstant això, es demanarà un dictamen jurídic a</w:t>
      </w:r>
      <w:r w:rsidR="00867E89">
        <w:rPr>
          <w:lang w:val="ca-ES"/>
        </w:rPr>
        <w:t>l professor Carlos Luis Alfonso Mellado, catedràtic de Dret del Treball i la Seguretat Social de la Universitat de València</w:t>
      </w:r>
      <w:r>
        <w:rPr>
          <w:lang w:val="ca-ES"/>
        </w:rPr>
        <w:t>, referit a la possibilitat d’establir contractes de durada superior a l’any</w:t>
      </w:r>
      <w:r w:rsidR="00867E89">
        <w:rPr>
          <w:lang w:val="ca-ES"/>
        </w:rPr>
        <w:t xml:space="preserve">, dictamen al qual les parts </w:t>
      </w:r>
      <w:r w:rsidR="007D4F8F">
        <w:rPr>
          <w:lang w:val="ca-ES"/>
        </w:rPr>
        <w:t>de la Mesa Negociadora accepten sotmetre’s.</w:t>
      </w:r>
    </w:p>
    <w:p w:rsidR="005F1307" w:rsidRDefault="005F1307">
      <w:pPr>
        <w:pStyle w:val="Textoindependiente"/>
        <w:spacing w:before="161" w:line="259" w:lineRule="auto"/>
        <w:ind w:left="100"/>
        <w:rPr>
          <w:lang w:val="ca-ES"/>
        </w:rPr>
      </w:pPr>
    </w:p>
    <w:p w:rsidR="001D5B97" w:rsidRDefault="005F1307" w:rsidP="007D4F8F">
      <w:pPr>
        <w:pStyle w:val="Textoindependiente"/>
        <w:spacing w:before="34" w:line="259" w:lineRule="auto"/>
        <w:ind w:right="116" w:hanging="1"/>
        <w:rPr>
          <w:lang w:val="ca-ES"/>
        </w:rPr>
      </w:pPr>
      <w:r>
        <w:rPr>
          <w:lang w:val="ca-ES"/>
        </w:rPr>
        <w:t xml:space="preserve">5.- </w:t>
      </w:r>
      <w:r w:rsidR="007D4F8F">
        <w:rPr>
          <w:lang w:val="ca-ES"/>
        </w:rPr>
        <w:t xml:space="preserve">Es convocarà en la primera setmana lectiva d’abril una Comissió Tècnica de la Mesa Negociadora per abordar </w:t>
      </w:r>
      <w:r>
        <w:rPr>
          <w:lang w:val="ca-ES"/>
        </w:rPr>
        <w:t xml:space="preserve">qüestions referides a </w:t>
      </w:r>
      <w:r w:rsidR="00976A26">
        <w:rPr>
          <w:lang w:val="ca-ES"/>
        </w:rPr>
        <w:t xml:space="preserve">la </w:t>
      </w:r>
      <w:r w:rsidR="007D4F8F">
        <w:rPr>
          <w:lang w:val="ca-ES"/>
        </w:rPr>
        <w:t>modificació del Pla d’Estabilització de</w:t>
      </w:r>
      <w:r w:rsidR="009F0576">
        <w:rPr>
          <w:lang w:val="ca-ES"/>
        </w:rPr>
        <w:t>l</w:t>
      </w:r>
      <w:r w:rsidR="007D4F8F">
        <w:rPr>
          <w:lang w:val="ca-ES"/>
        </w:rPr>
        <w:t xml:space="preserve"> Professorat Associat, </w:t>
      </w:r>
      <w:r w:rsidR="00357C27" w:rsidRPr="00CA525E">
        <w:rPr>
          <w:lang w:val="ca-ES"/>
        </w:rPr>
        <w:t>reconeixement de l’experiència l</w:t>
      </w:r>
      <w:r>
        <w:rPr>
          <w:lang w:val="ca-ES"/>
        </w:rPr>
        <w:t>aboral, docent i investigadora</w:t>
      </w:r>
      <w:r w:rsidR="007D4F8F">
        <w:rPr>
          <w:lang w:val="ca-ES"/>
        </w:rPr>
        <w:t xml:space="preserve"> d’aquest professorat</w:t>
      </w:r>
      <w:r>
        <w:rPr>
          <w:lang w:val="ca-ES"/>
        </w:rPr>
        <w:t xml:space="preserve">, així com </w:t>
      </w:r>
      <w:r w:rsidR="00357C27">
        <w:rPr>
          <w:lang w:val="ca-ES"/>
        </w:rPr>
        <w:t xml:space="preserve">a millores en l’assignació de la </w:t>
      </w:r>
      <w:r w:rsidR="007D4F8F">
        <w:rPr>
          <w:lang w:val="ca-ES"/>
        </w:rPr>
        <w:t xml:space="preserve">seua </w:t>
      </w:r>
      <w:r w:rsidR="00357C27">
        <w:rPr>
          <w:lang w:val="ca-ES"/>
        </w:rPr>
        <w:t>docència,</w:t>
      </w:r>
      <w:r>
        <w:rPr>
          <w:lang w:val="ca-ES"/>
        </w:rPr>
        <w:t xml:space="preserve"> </w:t>
      </w:r>
      <w:r w:rsidR="007D4F8F">
        <w:rPr>
          <w:lang w:val="ca-ES"/>
        </w:rPr>
        <w:t>que es</w:t>
      </w:r>
      <w:r w:rsidR="00357C27">
        <w:rPr>
          <w:lang w:val="ca-ES"/>
        </w:rPr>
        <w:t xml:space="preserve"> tracta</w:t>
      </w:r>
      <w:r w:rsidR="007D4F8F">
        <w:rPr>
          <w:lang w:val="ca-ES"/>
        </w:rPr>
        <w:t>ran</w:t>
      </w:r>
      <w:r w:rsidR="00357C27">
        <w:rPr>
          <w:lang w:val="ca-ES"/>
        </w:rPr>
        <w:t xml:space="preserve"> posteriorment en la Mesa Negociadora</w:t>
      </w:r>
      <w:r w:rsidR="00357C27" w:rsidRPr="00CA525E">
        <w:rPr>
          <w:lang w:val="ca-ES"/>
        </w:rPr>
        <w:t>.</w:t>
      </w:r>
    </w:p>
    <w:p w:rsidR="00357C27" w:rsidRPr="00CA525E" w:rsidRDefault="00357C27" w:rsidP="00357C27">
      <w:pPr>
        <w:pStyle w:val="Textoindependiente"/>
        <w:spacing w:before="161" w:line="259" w:lineRule="auto"/>
        <w:ind w:left="100"/>
        <w:rPr>
          <w:lang w:val="ca-ES"/>
        </w:rPr>
      </w:pPr>
    </w:p>
    <w:sectPr w:rsidR="00357C27" w:rsidRPr="00CA525E" w:rsidSect="00976A26">
      <w:pgSz w:w="11910" w:h="16840"/>
      <w:pgMar w:top="1247" w:right="1247" w:bottom="1247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7"/>
    <w:rsid w:val="001D5B97"/>
    <w:rsid w:val="00357C27"/>
    <w:rsid w:val="00373CD5"/>
    <w:rsid w:val="0038723C"/>
    <w:rsid w:val="005F1307"/>
    <w:rsid w:val="007D4F8F"/>
    <w:rsid w:val="00867E89"/>
    <w:rsid w:val="00976A26"/>
    <w:rsid w:val="009E7E83"/>
    <w:rsid w:val="009F0576"/>
    <w:rsid w:val="00A379D3"/>
    <w:rsid w:val="00B80CE6"/>
    <w:rsid w:val="00C97778"/>
    <w:rsid w:val="00CA525E"/>
    <w:rsid w:val="00E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997C2-3C86-4756-BAD7-8C32F3CF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8"/>
      <w:ind w:left="101" w:right="117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Oltra</dc:creator>
  <cp:lastModifiedBy>Usuario de Windows</cp:lastModifiedBy>
  <cp:revision>2</cp:revision>
  <dcterms:created xsi:type="dcterms:W3CDTF">2018-03-27T12:00:00Z</dcterms:created>
  <dcterms:modified xsi:type="dcterms:W3CDTF">2018-03-27T12:00:00Z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2018-03-21T00:00:00Z</vt:filetime>
  </property>
</Properties>
</file>