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C56A7" w14:textId="77777777" w:rsidR="00D5781D" w:rsidRDefault="00D5781D" w:rsidP="00D223CE">
      <w:pPr>
        <w:pStyle w:val="Sinespaciado"/>
      </w:pPr>
      <w:bookmarkStart w:id="0" w:name="_GoBack"/>
      <w:bookmarkEnd w:id="0"/>
    </w:p>
    <w:p w14:paraId="19B3CD64" w14:textId="3171F2F5" w:rsidR="005D58D0" w:rsidRPr="00271EE4" w:rsidRDefault="004F292C" w:rsidP="00F3508B">
      <w:pPr>
        <w:jc w:val="right"/>
      </w:pPr>
      <w:r>
        <w:t>Valencia</w:t>
      </w:r>
      <w:r w:rsidR="00D5781D">
        <w:t>,</w:t>
      </w:r>
      <w:r w:rsidR="00C75733">
        <w:t xml:space="preserve"> XX</w:t>
      </w:r>
      <w:r w:rsidR="00D5781D" w:rsidRPr="00D5781D">
        <w:t xml:space="preserve"> de marzo de 2021</w:t>
      </w:r>
    </w:p>
    <w:p w14:paraId="21DB2582" w14:textId="77777777" w:rsidR="00F3508B" w:rsidRDefault="00F3508B" w:rsidP="00684319">
      <w:pPr>
        <w:spacing w:after="0"/>
        <w:jc w:val="right"/>
      </w:pPr>
    </w:p>
    <w:p w14:paraId="2FAFC7F9" w14:textId="7A50660B" w:rsidR="00666951" w:rsidRPr="00AF1D70" w:rsidRDefault="00666951" w:rsidP="00666951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DOCUMENTO DE ACEPTACIÓN DE AYUDA</w:t>
      </w:r>
    </w:p>
    <w:p w14:paraId="7E5C22CB" w14:textId="77777777" w:rsidR="00666951" w:rsidRDefault="00666951" w:rsidP="00684319">
      <w:pPr>
        <w:spacing w:after="0"/>
        <w:jc w:val="right"/>
      </w:pPr>
    </w:p>
    <w:p w14:paraId="6F3ABE32" w14:textId="73946C04" w:rsidR="004F292C" w:rsidRDefault="00F3508B" w:rsidP="00684319">
      <w:pPr>
        <w:spacing w:after="0"/>
        <w:jc w:val="both"/>
      </w:pPr>
      <w:r>
        <w:t xml:space="preserve">Att: </w:t>
      </w:r>
      <w:r w:rsidR="004F292C" w:rsidRPr="00D32D51">
        <w:rPr>
          <w:b/>
        </w:rPr>
        <w:t xml:space="preserve">Comisión </w:t>
      </w:r>
      <w:r w:rsidR="00D5781D">
        <w:rPr>
          <w:b/>
        </w:rPr>
        <w:t xml:space="preserve">Mixta </w:t>
      </w:r>
      <w:r w:rsidR="004F292C" w:rsidRPr="00D32D51">
        <w:rPr>
          <w:b/>
        </w:rPr>
        <w:t>de Evaluación Ayudas UV-L</w:t>
      </w:r>
      <w:r w:rsidR="00D5781D">
        <w:rPr>
          <w:b/>
        </w:rPr>
        <w:t>a Fe</w:t>
      </w:r>
      <w:r w:rsidR="004F292C" w:rsidRPr="00D32D51">
        <w:rPr>
          <w:b/>
        </w:rPr>
        <w:t xml:space="preserve"> 20</w:t>
      </w:r>
      <w:r w:rsidR="008703A7">
        <w:rPr>
          <w:b/>
        </w:rPr>
        <w:t>20</w:t>
      </w:r>
    </w:p>
    <w:p w14:paraId="6BDC1977" w14:textId="39F03DC3" w:rsidR="00666951" w:rsidRDefault="00F3508B" w:rsidP="00684319">
      <w:pPr>
        <w:spacing w:after="0"/>
        <w:jc w:val="both"/>
        <w:rPr>
          <w:b/>
        </w:rPr>
      </w:pPr>
      <w:r>
        <w:t xml:space="preserve">Asunto: </w:t>
      </w:r>
      <w:r w:rsidR="00354D78" w:rsidRPr="00354D78">
        <w:rPr>
          <w:b/>
        </w:rPr>
        <w:t xml:space="preserve">Aceptación ayuda concedida y </w:t>
      </w:r>
      <w:r w:rsidR="00406B3A">
        <w:rPr>
          <w:b/>
        </w:rPr>
        <w:t xml:space="preserve">requisitos </w:t>
      </w:r>
      <w:r w:rsidR="009957C5">
        <w:rPr>
          <w:b/>
        </w:rPr>
        <w:t xml:space="preserve">técnicos </w:t>
      </w:r>
      <w:r w:rsidR="008C5650">
        <w:rPr>
          <w:b/>
        </w:rPr>
        <w:t>par</w:t>
      </w:r>
      <w:r w:rsidR="009957C5">
        <w:rPr>
          <w:b/>
        </w:rPr>
        <w:t xml:space="preserve">a </w:t>
      </w:r>
      <w:r w:rsidR="008C5650">
        <w:rPr>
          <w:b/>
        </w:rPr>
        <w:t>ejecutar e</w:t>
      </w:r>
      <w:r w:rsidR="00354D78">
        <w:rPr>
          <w:b/>
        </w:rPr>
        <w:t xml:space="preserve">l </w:t>
      </w:r>
      <w:r w:rsidR="00354D78" w:rsidRPr="00286137">
        <w:rPr>
          <w:b/>
          <w:highlight w:val="yellow"/>
        </w:rPr>
        <w:t>Proyecto</w:t>
      </w:r>
      <w:r w:rsidR="002257B9" w:rsidRPr="00286137">
        <w:rPr>
          <w:b/>
          <w:highlight w:val="yellow"/>
        </w:rPr>
        <w:t xml:space="preserve"> </w:t>
      </w:r>
      <w:r w:rsidR="00C75733" w:rsidRPr="00286137">
        <w:rPr>
          <w:b/>
          <w:highlight w:val="yellow"/>
        </w:rPr>
        <w:t>de Innovación/Acción Preparatoria</w:t>
      </w:r>
    </w:p>
    <w:p w14:paraId="3B9F796D" w14:textId="22FFF6BD" w:rsidR="00F3508B" w:rsidRDefault="00354D78" w:rsidP="00684319">
      <w:pPr>
        <w:spacing w:after="0"/>
        <w:jc w:val="both"/>
        <w:rPr>
          <w:b/>
        </w:rPr>
      </w:pPr>
      <w:r w:rsidRPr="00666951">
        <w:t>Convocatoria A</w:t>
      </w:r>
      <w:r w:rsidR="002257B9" w:rsidRPr="00666951">
        <w:t>yudas</w:t>
      </w:r>
      <w:r w:rsidR="00666951" w:rsidRPr="00666951">
        <w:t>:</w:t>
      </w:r>
      <w:r w:rsidR="002257B9">
        <w:rPr>
          <w:b/>
        </w:rPr>
        <w:t xml:space="preserve"> </w:t>
      </w:r>
      <w:r w:rsidR="003B7F27">
        <w:rPr>
          <w:b/>
        </w:rPr>
        <w:t>UV-La Fe 20</w:t>
      </w:r>
      <w:r w:rsidR="008703A7">
        <w:rPr>
          <w:b/>
        </w:rPr>
        <w:t>20</w:t>
      </w:r>
      <w:r w:rsidR="004C4D82">
        <w:rPr>
          <w:b/>
        </w:rPr>
        <w:t xml:space="preserve"> </w:t>
      </w:r>
      <w:r w:rsidR="00D5781D">
        <w:rPr>
          <w:b/>
        </w:rPr>
        <w:t>Pro</w:t>
      </w:r>
      <w:r w:rsidR="004C4D82">
        <w:rPr>
          <w:b/>
        </w:rPr>
        <w:t xml:space="preserve">grama </w:t>
      </w:r>
      <w:r w:rsidR="00FA31D5" w:rsidRPr="00286137">
        <w:rPr>
          <w:b/>
          <w:highlight w:val="yellow"/>
        </w:rPr>
        <w:t>PROYECTOS DE INNOVACIÓN</w:t>
      </w:r>
      <w:r w:rsidR="00D5781D" w:rsidRPr="00286137">
        <w:rPr>
          <w:b/>
          <w:highlight w:val="yellow"/>
        </w:rPr>
        <w:t>/ACCIONES PREPARATORIAS</w:t>
      </w:r>
    </w:p>
    <w:p w14:paraId="70022EC6" w14:textId="77777777" w:rsidR="002257B9" w:rsidRDefault="002257B9" w:rsidP="002257B9">
      <w:pPr>
        <w:spacing w:after="0"/>
        <w:rPr>
          <w:b/>
        </w:rPr>
      </w:pPr>
    </w:p>
    <w:p w14:paraId="6B0F574E" w14:textId="0EF71F2C" w:rsidR="003B7F27" w:rsidRPr="00791718" w:rsidRDefault="008C5650" w:rsidP="003B7F27">
      <w:pPr>
        <w:spacing w:after="0"/>
        <w:rPr>
          <w:b/>
        </w:rPr>
      </w:pPr>
      <w:r>
        <w:rPr>
          <w:b/>
        </w:rPr>
        <w:t xml:space="preserve">TITULO DEL </w:t>
      </w:r>
      <w:r w:rsidR="003B7F27" w:rsidRPr="00791718">
        <w:rPr>
          <w:b/>
        </w:rPr>
        <w:t xml:space="preserve">PROYECTO: </w:t>
      </w:r>
      <w:r w:rsidR="008703A7" w:rsidRPr="00286137">
        <w:rPr>
          <w:highlight w:val="yellow"/>
        </w:rPr>
        <w:t>Título</w:t>
      </w:r>
    </w:p>
    <w:p w14:paraId="2DEEEDB9" w14:textId="1DBF2CE0" w:rsidR="002257B9" w:rsidRPr="00F72C77" w:rsidRDefault="008C5650" w:rsidP="003B7F27">
      <w:pPr>
        <w:spacing w:after="0"/>
        <w:rPr>
          <w:b/>
          <w:color w:val="FF0000"/>
        </w:rPr>
      </w:pPr>
      <w:r w:rsidRPr="00791718">
        <w:rPr>
          <w:b/>
        </w:rPr>
        <w:t>ACRÓNIMO</w:t>
      </w:r>
      <w:r w:rsidR="003B7F27" w:rsidRPr="00791718">
        <w:rPr>
          <w:b/>
        </w:rPr>
        <w:t xml:space="preserve">: </w:t>
      </w:r>
      <w:r w:rsidR="008703A7" w:rsidRPr="00286137">
        <w:rPr>
          <w:highlight w:val="yellow"/>
        </w:rPr>
        <w:t>Acrónimo</w:t>
      </w:r>
    </w:p>
    <w:p w14:paraId="4222ADC5" w14:textId="77777777" w:rsidR="00F3508B" w:rsidRDefault="00F3508B" w:rsidP="00684319">
      <w:pPr>
        <w:spacing w:after="0"/>
        <w:jc w:val="both"/>
      </w:pPr>
    </w:p>
    <w:p w14:paraId="5D5A01C8" w14:textId="47603AB1" w:rsidR="00684319" w:rsidRDefault="00684319" w:rsidP="00684319">
      <w:pPr>
        <w:spacing w:after="0"/>
        <w:jc w:val="both"/>
      </w:pPr>
    </w:p>
    <w:p w14:paraId="51B86926" w14:textId="29398F6D" w:rsidR="00406B3A" w:rsidRPr="00666951" w:rsidRDefault="00406B3A" w:rsidP="00666951">
      <w:pPr>
        <w:spacing w:after="0"/>
        <w:rPr>
          <w:b/>
          <w:u w:val="single"/>
        </w:rPr>
      </w:pPr>
      <w:r w:rsidRPr="00666951">
        <w:rPr>
          <w:b/>
          <w:u w:val="single"/>
        </w:rPr>
        <w:t>REQUISITOS PARA LA EJECUCIÓN DEL PROYECTO</w:t>
      </w:r>
    </w:p>
    <w:p w14:paraId="57C51C42" w14:textId="77777777" w:rsidR="00406B3A" w:rsidRDefault="00406B3A" w:rsidP="00836E34">
      <w:pPr>
        <w:spacing w:after="0"/>
        <w:jc w:val="both"/>
      </w:pPr>
    </w:p>
    <w:p w14:paraId="0B260EF7" w14:textId="7AD5CAC8" w:rsidR="009957C5" w:rsidRDefault="00666951" w:rsidP="00836E34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1.- </w:t>
      </w:r>
      <w:r w:rsidRPr="006A767A">
        <w:rPr>
          <w:b/>
          <w:u w:val="single"/>
        </w:rPr>
        <w:t>Comité Ética</w:t>
      </w:r>
      <w:r>
        <w:rPr>
          <w:b/>
          <w:u w:val="single"/>
        </w:rPr>
        <w:t xml:space="preserve"> </w:t>
      </w:r>
    </w:p>
    <w:p w14:paraId="0F1C4BA9" w14:textId="0B41EB60" w:rsidR="00FA31D5" w:rsidRDefault="00FA31D5" w:rsidP="50F6E080">
      <w:pPr>
        <w:spacing w:before="120" w:after="0"/>
        <w:jc w:val="both"/>
        <w:rPr>
          <w:rFonts w:ascii="Calibri" w:eastAsia="Calibri" w:hAnsi="Calibri" w:cs="Calibri"/>
          <w:color w:val="000000" w:themeColor="text1"/>
        </w:rPr>
      </w:pPr>
      <w:r>
        <w:t xml:space="preserve">La ejecución de las actividades estará supeditada, si procede, a la evaluación y aprobación por parte del Comité de Ética correspondiente del Hospital La Fe </w:t>
      </w:r>
      <w:r w:rsidRPr="00D646EF">
        <w:t xml:space="preserve">y del Comité </w:t>
      </w:r>
      <w:r w:rsidR="5569251F" w:rsidRPr="00D646EF">
        <w:t xml:space="preserve">de </w:t>
      </w:r>
      <w:r w:rsidRPr="00D646EF">
        <w:t>Étic</w:t>
      </w:r>
      <w:r w:rsidR="0DBAE9BF" w:rsidRPr="00D646EF">
        <w:t>a</w:t>
      </w:r>
      <w:r w:rsidRPr="00D646EF">
        <w:t xml:space="preserve"> </w:t>
      </w:r>
      <w:r w:rsidR="1223902B" w:rsidRPr="00D646EF">
        <w:t xml:space="preserve">en </w:t>
      </w:r>
      <w:r w:rsidRPr="00D646EF">
        <w:t>Investigación de la UV.</w:t>
      </w:r>
      <w:r w:rsidR="00836E34" w:rsidRPr="00D646EF">
        <w:t xml:space="preserve"> </w:t>
      </w:r>
      <w:r w:rsidRPr="00D646EF">
        <w:t xml:space="preserve">Se establece un plazo máximo de </w:t>
      </w:r>
      <w:r w:rsidR="6068063B" w:rsidRPr="00D646EF">
        <w:t>1</w:t>
      </w:r>
      <w:r w:rsidRPr="00D646EF">
        <w:t xml:space="preserve"> mes, desde la fecha de firma del presente documento de aceptac</w:t>
      </w:r>
      <w:r>
        <w:t xml:space="preserve">ión, para la presentación de la documentación necesaria para </w:t>
      </w:r>
      <w:r w:rsidR="00271FD2">
        <w:t>las</w:t>
      </w:r>
      <w:r>
        <w:t xml:space="preserve"> solicitud</w:t>
      </w:r>
      <w:r w:rsidR="00D66713">
        <w:t>es</w:t>
      </w:r>
      <w:r>
        <w:t xml:space="preserve"> de evaluación de</w:t>
      </w:r>
      <w:r w:rsidR="00D66713">
        <w:t xml:space="preserve"> </w:t>
      </w:r>
      <w:r w:rsidR="00271FD2">
        <w:t>cada uno de los</w:t>
      </w:r>
      <w:r w:rsidR="00D66713">
        <w:t xml:space="preserve"> </w:t>
      </w:r>
      <w:r>
        <w:t>Comité</w:t>
      </w:r>
      <w:r w:rsidR="00D66713">
        <w:t>s</w:t>
      </w:r>
      <w:r>
        <w:t xml:space="preserve"> de Ética</w:t>
      </w:r>
      <w:r w:rsidR="00271FD2">
        <w:t xml:space="preserve"> citados</w:t>
      </w:r>
      <w:r w:rsidR="002F2D5F">
        <w:t>, en las entidades correspondientes</w:t>
      </w:r>
      <w:r>
        <w:t>.</w:t>
      </w:r>
      <w:r w:rsidR="002B4A09">
        <w:t xml:space="preserve"> Los investigadores de LA FE tienen disponible la información relativa al comité de ética en </w:t>
      </w:r>
      <w:hyperlink r:id="rId11">
        <w:r w:rsidR="002B4A09" w:rsidRPr="50F6E080">
          <w:rPr>
            <w:color w:val="0000FF"/>
            <w:u w:val="single"/>
          </w:rPr>
          <w:t>https://remote.iislafe.san.gva.es/intranet/</w:t>
        </w:r>
      </w:hyperlink>
      <w:r w:rsidR="002B4A09">
        <w:t xml:space="preserve"> DOCUMENTACIÓN/SOLICITUDES Y FORMULARIOS. Remitir la documentación rellenada a </w:t>
      </w:r>
      <w:hyperlink r:id="rId12">
        <w:r w:rsidR="002B4A09" w:rsidRPr="50F6E080">
          <w:rPr>
            <w:rStyle w:val="Hipervnculo"/>
          </w:rPr>
          <w:t>area_cientifica@iislafe.es</w:t>
        </w:r>
      </w:hyperlink>
      <w:r w:rsidR="002B4A09">
        <w:t xml:space="preserve">, con copia a </w:t>
      </w:r>
      <w:hyperlink r:id="rId13">
        <w:r w:rsidR="002B4A09" w:rsidRPr="50F6E080">
          <w:rPr>
            <w:rStyle w:val="Hipervnculo"/>
          </w:rPr>
          <w:t>innovacion@iislafe.es</w:t>
        </w:r>
      </w:hyperlink>
      <w:r w:rsidR="002B4A09">
        <w:t>.</w:t>
      </w:r>
      <w:r>
        <w:t xml:space="preserve"> </w:t>
      </w:r>
      <w:r w:rsidR="65FD17F2" w:rsidRPr="00D646EF">
        <w:rPr>
          <w:rFonts w:ascii="Calibri" w:eastAsia="Calibri" w:hAnsi="Calibri" w:cs="Calibri"/>
          <w:color w:val="000000" w:themeColor="text1"/>
        </w:rPr>
        <w:t>Los investigadores de la UV tienen disponi</w:t>
      </w:r>
      <w:r w:rsidR="00D646EF">
        <w:rPr>
          <w:rFonts w:ascii="Calibri" w:eastAsia="Calibri" w:hAnsi="Calibri" w:cs="Calibri"/>
          <w:color w:val="000000" w:themeColor="text1"/>
        </w:rPr>
        <w:t>ble la información relativa al Comité de É</w:t>
      </w:r>
      <w:r w:rsidR="65FD17F2" w:rsidRPr="00D646EF">
        <w:rPr>
          <w:rFonts w:ascii="Calibri" w:eastAsia="Calibri" w:hAnsi="Calibri" w:cs="Calibri"/>
          <w:color w:val="000000" w:themeColor="text1"/>
        </w:rPr>
        <w:t xml:space="preserve">tica en </w:t>
      </w:r>
      <w:r w:rsidR="00D646EF">
        <w:rPr>
          <w:rFonts w:ascii="Calibri" w:eastAsia="Calibri" w:hAnsi="Calibri" w:cs="Calibri"/>
          <w:color w:val="000000" w:themeColor="text1"/>
        </w:rPr>
        <w:t>I</w:t>
      </w:r>
      <w:r w:rsidR="00D646EF" w:rsidRPr="00D646EF">
        <w:rPr>
          <w:rFonts w:ascii="Calibri" w:eastAsia="Calibri" w:hAnsi="Calibri" w:cs="Calibri"/>
          <w:color w:val="000000" w:themeColor="text1"/>
        </w:rPr>
        <w:t xml:space="preserve">nvestigación (CEI) en: </w:t>
      </w:r>
      <w:hyperlink r:id="rId14" w:history="1">
        <w:r w:rsidR="00D646EF" w:rsidRPr="00D646EF">
          <w:rPr>
            <w:rStyle w:val="Hipervnculo"/>
            <w:rFonts w:ascii="Calibri" w:eastAsia="Calibri" w:hAnsi="Calibri" w:cs="Calibri"/>
          </w:rPr>
          <w:t>https://www.uv.es/comissio-etica-investigacio-experimental/ca/comissio-etica-investigacio-experimental.html</w:t>
        </w:r>
      </w:hyperlink>
    </w:p>
    <w:p w14:paraId="18919CDC" w14:textId="77777777" w:rsidR="00D44DB9" w:rsidRDefault="00D44DB9" w:rsidP="00836E34">
      <w:pPr>
        <w:spacing w:after="0"/>
        <w:jc w:val="both"/>
      </w:pPr>
    </w:p>
    <w:p w14:paraId="6176D578" w14:textId="78AB9B39" w:rsidR="006A767A" w:rsidRDefault="00D44DB9" w:rsidP="00836E34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666951">
        <w:rPr>
          <w:b/>
          <w:u w:val="single"/>
        </w:rPr>
        <w:t xml:space="preserve">.- </w:t>
      </w:r>
      <w:r w:rsidR="00666951" w:rsidRPr="006A767A">
        <w:rPr>
          <w:b/>
          <w:u w:val="single"/>
        </w:rPr>
        <w:t>Financiación</w:t>
      </w:r>
    </w:p>
    <w:p w14:paraId="0B561054" w14:textId="0706E9D7" w:rsidR="008C5650" w:rsidRDefault="008C5650" w:rsidP="00836E34">
      <w:pPr>
        <w:spacing w:before="120" w:after="0"/>
        <w:jc w:val="both"/>
      </w:pPr>
      <w:r>
        <w:t>Los gastos elegibles según la convocatoria son los siguientes:</w:t>
      </w:r>
    </w:p>
    <w:p w14:paraId="0116A44A" w14:textId="77777777" w:rsidR="00606717" w:rsidRDefault="00606717" w:rsidP="00606717">
      <w:pPr>
        <w:pStyle w:val="Prrafodelista"/>
        <w:widowControl w:val="0"/>
        <w:numPr>
          <w:ilvl w:val="0"/>
          <w:numId w:val="21"/>
        </w:numPr>
        <w:spacing w:line="276" w:lineRule="auto"/>
        <w:ind w:left="709"/>
        <w:jc w:val="both"/>
      </w:pPr>
      <w:r>
        <w:t>Nuevas contrataciones de personal siguiendo las normativas que rijan en cada institución.</w:t>
      </w:r>
      <w:r w:rsidRPr="000830CF" w:rsidDel="001F4EC6">
        <w:t xml:space="preserve"> </w:t>
      </w:r>
    </w:p>
    <w:p w14:paraId="5CA94FBF" w14:textId="77777777" w:rsidR="00606717" w:rsidRDefault="00606717" w:rsidP="00606717">
      <w:pPr>
        <w:pStyle w:val="Prrafodelista"/>
        <w:widowControl w:val="0"/>
        <w:numPr>
          <w:ilvl w:val="0"/>
          <w:numId w:val="21"/>
        </w:numPr>
        <w:spacing w:line="276" w:lineRule="auto"/>
        <w:ind w:left="709"/>
        <w:jc w:val="both"/>
      </w:pPr>
      <w:r>
        <w:t xml:space="preserve">Subcontrataciones y asistencias técnicas; gastos de consultoría, asistencia tecnológica, realización de estudios, contratación de servicios externos de I+D y tecnológicos, así como servicios equivalentes destinados de manera exclusiva a la actividad objeto de la actuación, con las siguientes limitaciones: </w:t>
      </w:r>
    </w:p>
    <w:p w14:paraId="66653A50" w14:textId="77777777" w:rsidR="00606717" w:rsidRDefault="00606717" w:rsidP="00606717">
      <w:pPr>
        <w:pStyle w:val="Prrafodelista"/>
        <w:widowControl w:val="0"/>
        <w:numPr>
          <w:ilvl w:val="0"/>
          <w:numId w:val="22"/>
        </w:numPr>
        <w:spacing w:line="276" w:lineRule="auto"/>
        <w:jc w:val="both"/>
      </w:pPr>
      <w:r>
        <w:t>A todos los efectos, el importe de las subcontrataciones podrá ser de hasta un 50% de la cuantía total de la ayuda concedida, que podrá incrementarse en casos debidamente justificados y previa solicitud motivada.</w:t>
      </w:r>
    </w:p>
    <w:p w14:paraId="547AF1E4" w14:textId="77777777" w:rsidR="00606717" w:rsidRPr="00D951C5" w:rsidRDefault="00606717" w:rsidP="00606717">
      <w:pPr>
        <w:pStyle w:val="Prrafodelista"/>
        <w:widowControl w:val="0"/>
        <w:numPr>
          <w:ilvl w:val="0"/>
          <w:numId w:val="22"/>
        </w:numPr>
        <w:spacing w:line="276" w:lineRule="auto"/>
        <w:jc w:val="both"/>
      </w:pPr>
      <w:r>
        <w:t xml:space="preserve">Se permitirá, sin previa autorización, la subcontratación del Servicio Central de Apoyo a la Investigación Experimental (SCSIE/UCIM) </w:t>
      </w:r>
      <w:r w:rsidRPr="00D951C5">
        <w:t xml:space="preserve">y de las Plataformas del </w:t>
      </w:r>
      <w:r>
        <w:t>HUP/IIS La Fe</w:t>
      </w:r>
      <w:r w:rsidRPr="00D951C5">
        <w:t>, hasta el 100% de la cuantía total de la ayuda concedida.</w:t>
      </w:r>
    </w:p>
    <w:p w14:paraId="0B9EA813" w14:textId="77777777" w:rsidR="00606717" w:rsidRPr="005D1978" w:rsidRDefault="00606717" w:rsidP="006067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</w:pPr>
      <w:r w:rsidRPr="005D1978">
        <w:t xml:space="preserve">Material fungible. </w:t>
      </w:r>
    </w:p>
    <w:p w14:paraId="60A2981F" w14:textId="77777777" w:rsidR="00606717" w:rsidRPr="00AE1F13" w:rsidRDefault="00606717" w:rsidP="006067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</w:pPr>
      <w:r w:rsidRPr="00AE1F13">
        <w:lastRenderedPageBreak/>
        <w:t xml:space="preserve">Viajes y dietas del equipo investigador relacionadas directamente con la actividad objeto de la actuación (preparación y presentación de propuestas a programas de mayor envergadura, proyectos internacionales, reuniones…). Solamente se admitirán gastos de viajes y dietas del equipo investigador del proyecto y hasta un máximo del 20% de su presupuesto. </w:t>
      </w:r>
    </w:p>
    <w:p w14:paraId="58B2D871" w14:textId="77777777" w:rsidR="00606717" w:rsidRDefault="00606717" w:rsidP="006067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</w:pPr>
      <w:r w:rsidRPr="00AE1F13">
        <w:t>Otros gastos debidamente justificados</w:t>
      </w:r>
      <w:r>
        <w:t>.</w:t>
      </w:r>
    </w:p>
    <w:p w14:paraId="551783AC" w14:textId="77777777" w:rsidR="00707E5A" w:rsidRPr="00606717" w:rsidRDefault="00707E5A" w:rsidP="00836E34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14:paraId="482AEA89" w14:textId="589DDAB5" w:rsidR="00C41AB0" w:rsidRPr="00606717" w:rsidRDefault="00707E5A" w:rsidP="02983B82">
      <w:pPr>
        <w:autoSpaceDE w:val="0"/>
        <w:autoSpaceDN w:val="0"/>
        <w:adjustRightInd w:val="0"/>
        <w:spacing w:after="0"/>
        <w:jc w:val="both"/>
      </w:pPr>
      <w:r w:rsidRPr="00606717">
        <w:rPr>
          <w:rFonts w:cs="Times New Roman"/>
        </w:rPr>
        <w:t>No serán subvencionables</w:t>
      </w:r>
      <w:r w:rsidR="00606717" w:rsidRPr="00606717">
        <w:rPr>
          <w:rFonts w:cs="Times New Roman"/>
        </w:rPr>
        <w:t>:</w:t>
      </w:r>
    </w:p>
    <w:p w14:paraId="50ED31E6" w14:textId="77777777" w:rsidR="00606717" w:rsidRPr="005D1978" w:rsidRDefault="00606717" w:rsidP="006067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</w:pPr>
      <w:r w:rsidRPr="005D1978">
        <w:t xml:space="preserve">Retribuciones de personal </w:t>
      </w:r>
      <w:r w:rsidRPr="00937311">
        <w:t>fijo o vinculado estatutaria o contra</w:t>
      </w:r>
      <w:r>
        <w:t xml:space="preserve">ctualmente con la UV o al </w:t>
      </w:r>
      <w:r w:rsidRPr="00937311">
        <w:t>HUP/IIS La Fe.</w:t>
      </w:r>
    </w:p>
    <w:p w14:paraId="36A030AD" w14:textId="77777777" w:rsidR="00606717" w:rsidRDefault="00606717" w:rsidP="006067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</w:pPr>
      <w:r>
        <w:t xml:space="preserve">Compensaciones del personal de </w:t>
      </w:r>
      <w:r w:rsidRPr="00937311">
        <w:t>investigación no vinculado a las entidade</w:t>
      </w:r>
      <w:r>
        <w:t xml:space="preserve">s beneficiarias cuando participe en la </w:t>
      </w:r>
      <w:r w:rsidRPr="00937311">
        <w:t>ejecución de las actuaciones objeto de subvención.</w:t>
      </w:r>
    </w:p>
    <w:p w14:paraId="3A783ACF" w14:textId="77777777" w:rsidR="00606717" w:rsidRDefault="00606717" w:rsidP="006067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eastAsia="es-ES"/>
        </w:rPr>
      </w:pPr>
      <w:r w:rsidRPr="00937311">
        <w:rPr>
          <w:rFonts w:ascii="Calibri" w:eastAsia="Times New Roman" w:hAnsi="Calibri" w:cs="Times New Roman"/>
          <w:lang w:eastAsia="es-ES"/>
        </w:rPr>
        <w:t>Material invent</w:t>
      </w:r>
      <w:r>
        <w:rPr>
          <w:rFonts w:ascii="Calibri" w:eastAsia="Times New Roman" w:hAnsi="Calibri" w:cs="Times New Roman"/>
          <w:lang w:eastAsia="es-ES"/>
        </w:rPr>
        <w:t xml:space="preserve">ariable y material de </w:t>
      </w:r>
      <w:r w:rsidRPr="00937311">
        <w:rPr>
          <w:rFonts w:ascii="Calibri" w:eastAsia="Times New Roman" w:hAnsi="Calibri" w:cs="Times New Roman"/>
          <w:lang w:eastAsia="es-ES"/>
        </w:rPr>
        <w:t>uso ex</w:t>
      </w:r>
      <w:r>
        <w:rPr>
          <w:rFonts w:ascii="Calibri" w:eastAsia="Times New Roman" w:hAnsi="Calibri" w:cs="Times New Roman"/>
          <w:lang w:eastAsia="es-ES"/>
        </w:rPr>
        <w:t xml:space="preserve">clusivamente administrativo y de </w:t>
      </w:r>
      <w:r w:rsidRPr="00937311">
        <w:rPr>
          <w:rFonts w:ascii="Calibri" w:eastAsia="Times New Roman" w:hAnsi="Calibri" w:cs="Times New Roman"/>
          <w:lang w:eastAsia="es-ES"/>
        </w:rPr>
        <w:t>oficina. Excepcionalmente se podrán admitir gastos en fotocopias, previa autorización, en casos en que este gasto sea imprescindible para la viabilidad del proyecto.</w:t>
      </w:r>
    </w:p>
    <w:p w14:paraId="3174E87F" w14:textId="7DD57570" w:rsidR="00606717" w:rsidRDefault="00606717" w:rsidP="00606717">
      <w:pPr>
        <w:pStyle w:val="Prrafodelista"/>
        <w:numPr>
          <w:ilvl w:val="0"/>
          <w:numId w:val="20"/>
        </w:numPr>
        <w:spacing w:before="120" w:after="0" w:line="240" w:lineRule="auto"/>
        <w:ind w:left="714" w:hanging="357"/>
        <w:contextualSpacing w:val="0"/>
        <w:jc w:val="both"/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>S</w:t>
      </w:r>
      <w:r w:rsidRPr="000830CF">
        <w:rPr>
          <w:rFonts w:ascii="Calibri" w:eastAsia="Times New Roman" w:hAnsi="Calibri" w:cs="Times New Roman"/>
          <w:lang w:eastAsia="es-ES"/>
        </w:rPr>
        <w:t>ubcontratación de una consultora para la redacción de propuestas de proyectos nacionales ni informes de patentabilidad</w:t>
      </w:r>
      <w:r>
        <w:rPr>
          <w:rFonts w:ascii="Calibri" w:eastAsia="Times New Roman" w:hAnsi="Calibri" w:cs="Times New Roman"/>
          <w:lang w:eastAsia="es-ES"/>
        </w:rPr>
        <w:t xml:space="preserve"> o registros de patentes u otros derechos de propiedad industrial o intelectual.</w:t>
      </w:r>
    </w:p>
    <w:p w14:paraId="7ABD72E2" w14:textId="0C506964" w:rsidR="00606717" w:rsidRPr="00606717" w:rsidRDefault="00606717" w:rsidP="0060671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606717">
        <w:rPr>
          <w:rFonts w:ascii="Calibri" w:eastAsia="Times New Roman" w:hAnsi="Calibri" w:cs="Times New Roman"/>
          <w:lang w:eastAsia="es-ES"/>
        </w:rPr>
        <w:t>Gastos de inscripciones o viajes, dietas y otros gastos para la asistencia a actividades formativas y/o a congresos científicos, ni gastos de publicaciones o actos protocolarios</w:t>
      </w:r>
      <w:r w:rsidR="00D646EF">
        <w:rPr>
          <w:rFonts w:ascii="Calibri" w:eastAsia="Times New Roman" w:hAnsi="Calibri" w:cs="Times New Roman"/>
          <w:lang w:eastAsia="es-ES"/>
        </w:rPr>
        <w:t>.</w:t>
      </w:r>
    </w:p>
    <w:p w14:paraId="4A7DE72E" w14:textId="77777777" w:rsidR="008C5650" w:rsidRDefault="008C5650" w:rsidP="00836E34">
      <w:pPr>
        <w:spacing w:after="0"/>
        <w:jc w:val="both"/>
      </w:pPr>
    </w:p>
    <w:p w14:paraId="7AC25D82" w14:textId="23FCAB68" w:rsidR="001C3049" w:rsidRPr="00CF2157" w:rsidRDefault="3D5B10D0" w:rsidP="71218D97">
      <w:pPr>
        <w:spacing w:after="0"/>
        <w:jc w:val="both"/>
      </w:pPr>
      <w:r w:rsidRPr="00CF2157">
        <w:t>Tal y como indica la convocatoria de ayudas, los importes solicitados podrán ser asignados a la UV o La Fe en función de la disponibilidad presupuestaria de cada institución.</w:t>
      </w:r>
    </w:p>
    <w:p w14:paraId="26874254" w14:textId="77777777" w:rsidR="001C3049" w:rsidRPr="00791718" w:rsidRDefault="001C3049" w:rsidP="001C3049">
      <w:pPr>
        <w:spacing w:after="0"/>
        <w:jc w:val="both"/>
      </w:pPr>
    </w:p>
    <w:p w14:paraId="2E084BA3" w14:textId="15C48C15" w:rsidR="001C3049" w:rsidRDefault="40D02FDD" w:rsidP="001C3049">
      <w:pPr>
        <w:spacing w:after="0"/>
        <w:jc w:val="both"/>
      </w:pPr>
      <w:r>
        <w:t xml:space="preserve">En el caso de este </w:t>
      </w:r>
      <w:r w:rsidRPr="00286137">
        <w:rPr>
          <w:highlight w:val="yellow"/>
        </w:rPr>
        <w:t>Proyecto</w:t>
      </w:r>
      <w:r w:rsidR="00477A23" w:rsidRPr="00286137">
        <w:rPr>
          <w:highlight w:val="yellow"/>
        </w:rPr>
        <w:t xml:space="preserve"> de Innovación</w:t>
      </w:r>
      <w:r w:rsidR="00C75733" w:rsidRPr="00286137">
        <w:rPr>
          <w:highlight w:val="yellow"/>
        </w:rPr>
        <w:t>/Acción Preparatoria</w:t>
      </w:r>
      <w:r>
        <w:t xml:space="preserve">, </w:t>
      </w:r>
      <w:r w:rsidR="001C3049">
        <w:t>el presupuesto</w:t>
      </w:r>
      <w:r w:rsidR="002B4A09">
        <w:t xml:space="preserve"> concedido</w:t>
      </w:r>
      <w:r w:rsidR="00A70C3C">
        <w:t>*</w:t>
      </w:r>
      <w:r w:rsidR="2D2A5F86">
        <w:t xml:space="preserve"> por cada </w:t>
      </w:r>
      <w:r w:rsidR="0015148C">
        <w:t>institución</w:t>
      </w:r>
      <w:r w:rsidR="002B4A09">
        <w:t xml:space="preserve"> es el </w:t>
      </w:r>
      <w:r w:rsidR="00A70C3C">
        <w:t>siguiente:</w:t>
      </w:r>
    </w:p>
    <w:p w14:paraId="0F4A6BC2" w14:textId="77777777" w:rsidR="001C3049" w:rsidRDefault="001C3049" w:rsidP="001C3049">
      <w:pPr>
        <w:spacing w:after="0"/>
        <w:jc w:val="both"/>
      </w:pPr>
    </w:p>
    <w:tbl>
      <w:tblPr>
        <w:tblW w:w="8871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9"/>
        <w:gridCol w:w="178"/>
        <w:gridCol w:w="3402"/>
        <w:gridCol w:w="3402"/>
      </w:tblGrid>
      <w:tr w:rsidR="001C3049" w:rsidRPr="006C2F2B" w14:paraId="271D7BC1" w14:textId="77777777" w:rsidTr="71218D97">
        <w:trPr>
          <w:trHeight w:val="206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3514A627" w14:textId="77777777" w:rsidR="001C3049" w:rsidRPr="0033519B" w:rsidRDefault="001C3049" w:rsidP="005D5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BC75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Importe Concedido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7436F43E" w14:textId="77777777" w:rsidR="001C3049" w:rsidRPr="0033519B" w:rsidRDefault="001C3049" w:rsidP="005D5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B44D2B3" w14:textId="0938ED9E" w:rsidR="001C3049" w:rsidRPr="00BC7567" w:rsidRDefault="001C3049" w:rsidP="005D5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BC75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 xml:space="preserve">Importe gestionado a través de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 xml:space="preserve">                    </w:t>
            </w:r>
            <w:r w:rsidRPr="00BC75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UV (€)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A5417B0" w14:textId="77777777" w:rsidR="001C3049" w:rsidRPr="00BC7567" w:rsidRDefault="001C3049" w:rsidP="005D5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BC75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Importe gestionado a través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 xml:space="preserve">                    </w:t>
            </w:r>
            <w:r w:rsidRPr="00BC7567">
              <w:rPr>
                <w:rFonts w:ascii="Calibri" w:eastAsia="Times New Roman" w:hAnsi="Calibri" w:cs="Calibri,Bold"/>
                <w:b/>
                <w:bCs/>
                <w:sz w:val="20"/>
                <w:szCs w:val="20"/>
                <w:lang w:eastAsia="es-ES"/>
              </w:rPr>
              <w:t xml:space="preserve"> IIS La Fe (€)</w:t>
            </w:r>
          </w:p>
        </w:tc>
      </w:tr>
      <w:tr w:rsidR="001C3049" w:rsidRPr="0033519B" w14:paraId="08950EF1" w14:textId="77777777" w:rsidTr="00A70C3C">
        <w:trPr>
          <w:trHeight w:val="191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5329" w14:textId="503CDFBA" w:rsidR="001C3049" w:rsidRPr="00606717" w:rsidRDefault="001C3049" w:rsidP="005D5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cyan"/>
                <w:lang w:eastAsia="es-ES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020A3" w14:textId="77777777" w:rsidR="001C3049" w:rsidRPr="00606717" w:rsidRDefault="001C3049" w:rsidP="005D5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cyan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32E7E" w14:textId="77777777" w:rsidR="001C3049" w:rsidRPr="00606717" w:rsidRDefault="001C3049" w:rsidP="005D58D0">
            <w:pPr>
              <w:pStyle w:val="Prrafodelista"/>
              <w:tabs>
                <w:tab w:val="left" w:pos="220"/>
              </w:tabs>
              <w:ind w:left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cyan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681F9" w14:textId="5587A7CA" w:rsidR="001C3049" w:rsidRPr="00606717" w:rsidRDefault="001C3049" w:rsidP="00286137">
            <w:pPr>
              <w:pStyle w:val="Prrafodelista"/>
              <w:tabs>
                <w:tab w:val="left" w:pos="220"/>
              </w:tabs>
              <w:ind w:left="69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cyan"/>
                <w:lang w:eastAsia="es-ES"/>
              </w:rPr>
            </w:pPr>
          </w:p>
        </w:tc>
      </w:tr>
    </w:tbl>
    <w:p w14:paraId="596AF317" w14:textId="366AAA7B" w:rsidR="001C3049" w:rsidRDefault="00A70C3C" w:rsidP="001C3049">
      <w:r w:rsidRPr="00286137">
        <w:t>*Se adjuntarán las instrucciones pertinentes en comunicación a través de correo electrónico.</w:t>
      </w:r>
    </w:p>
    <w:p w14:paraId="0DE56633" w14:textId="7B82816F" w:rsidR="001516D1" w:rsidRDefault="00406B3A" w:rsidP="00836E34">
      <w:pPr>
        <w:spacing w:after="0"/>
        <w:jc w:val="both"/>
      </w:pPr>
      <w:r w:rsidRPr="003B7F27">
        <w:t>Los Investigadores Principales son conocedores</w:t>
      </w:r>
      <w:r w:rsidR="001516D1" w:rsidRPr="003B7F27">
        <w:t xml:space="preserve"> que </w:t>
      </w:r>
      <w:r w:rsidR="00A70C3C">
        <w:t xml:space="preserve">se trata </w:t>
      </w:r>
      <w:r w:rsidR="00D44DB9">
        <w:t>de un proyecto coordinado y el importe concedido será gestionado en colaboración por ambos I</w:t>
      </w:r>
      <w:r w:rsidR="00F767F0">
        <w:t xml:space="preserve">nvestigadores </w:t>
      </w:r>
      <w:r w:rsidR="00D44DB9">
        <w:t>P</w:t>
      </w:r>
      <w:r w:rsidR="00F767F0">
        <w:t>rincipale</w:t>
      </w:r>
      <w:r w:rsidR="00A70C3C">
        <w:t xml:space="preserve">s; </w:t>
      </w:r>
      <w:r w:rsidR="00A70C3C" w:rsidRPr="003B7F27">
        <w:t>por tanto</w:t>
      </w:r>
      <w:r w:rsidR="00A70C3C">
        <w:t>,</w:t>
      </w:r>
      <w:r w:rsidR="00A70C3C" w:rsidRPr="003B7F27">
        <w:t xml:space="preserve"> para la ejecución de </w:t>
      </w:r>
      <w:r w:rsidR="00F23CCC">
        <w:t>è</w:t>
      </w:r>
      <w:r w:rsidR="00A70C3C" w:rsidRPr="003B7F27">
        <w:t>ste deberá cumplir con la normativa que a este respecto tenga</w:t>
      </w:r>
      <w:r w:rsidR="00477A23">
        <w:t>n</w:t>
      </w:r>
      <w:r w:rsidR="00A70C3C" w:rsidRPr="003B7F27">
        <w:t xml:space="preserve"> la</w:t>
      </w:r>
      <w:r w:rsidR="00A70C3C">
        <w:t xml:space="preserve">s </w:t>
      </w:r>
      <w:r w:rsidR="00A70C3C" w:rsidRPr="003B7F27">
        <w:t>citada</w:t>
      </w:r>
      <w:r w:rsidR="00A70C3C">
        <w:t>s instituciones.</w:t>
      </w:r>
    </w:p>
    <w:p w14:paraId="1A991152" w14:textId="77777777" w:rsidR="00B942D2" w:rsidRDefault="00B942D2" w:rsidP="00836E34">
      <w:pPr>
        <w:spacing w:after="0"/>
        <w:jc w:val="both"/>
      </w:pPr>
    </w:p>
    <w:p w14:paraId="2A8D8634" w14:textId="6B8C4C55" w:rsidR="00BC5B87" w:rsidRDefault="00BC5B87" w:rsidP="00836E34">
      <w:pPr>
        <w:spacing w:after="0"/>
        <w:jc w:val="both"/>
      </w:pPr>
      <w:r w:rsidRPr="00BC5B87">
        <w:t>A la finalización del proyecto, aquellos remanentes de importes que no hayan sido ejecutados en tiempo y forma volverán a la/s instituciones que los financiaron (IIS La Fe o UV)</w:t>
      </w:r>
      <w:r>
        <w:t>.</w:t>
      </w:r>
    </w:p>
    <w:p w14:paraId="50A8D960" w14:textId="37D22B7B" w:rsidR="00B942D2" w:rsidRDefault="00B942D2" w:rsidP="00836E34">
      <w:pPr>
        <w:spacing w:after="0"/>
        <w:jc w:val="both"/>
      </w:pPr>
    </w:p>
    <w:p w14:paraId="117DD769" w14:textId="022196AD" w:rsidR="00477A23" w:rsidRDefault="00477A23" w:rsidP="00836E34">
      <w:pPr>
        <w:spacing w:after="0"/>
        <w:jc w:val="both"/>
      </w:pPr>
    </w:p>
    <w:p w14:paraId="2835577A" w14:textId="77777777" w:rsidR="00477A23" w:rsidRDefault="00477A23" w:rsidP="00836E34">
      <w:pPr>
        <w:spacing w:after="0"/>
        <w:jc w:val="both"/>
        <w:rPr>
          <w:b/>
          <w:u w:val="single"/>
        </w:rPr>
      </w:pPr>
    </w:p>
    <w:p w14:paraId="0A3BA61F" w14:textId="6AF73190" w:rsidR="0071394D" w:rsidRDefault="00D44DB9" w:rsidP="00836E34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3</w:t>
      </w:r>
      <w:r w:rsidR="00666951">
        <w:rPr>
          <w:b/>
          <w:u w:val="single"/>
        </w:rPr>
        <w:t>.- Información relevante Partida Ejecutada en el IIS La Fe</w:t>
      </w:r>
    </w:p>
    <w:p w14:paraId="794B7969" w14:textId="7C00375B" w:rsidR="0071394D" w:rsidRPr="002F2D5F" w:rsidRDefault="0071394D" w:rsidP="00836E34">
      <w:pPr>
        <w:autoSpaceDE w:val="0"/>
        <w:autoSpaceDN w:val="0"/>
        <w:adjustRightInd w:val="0"/>
        <w:spacing w:before="120" w:after="0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34236F">
        <w:rPr>
          <w:rFonts w:ascii="Calibri" w:eastAsia="Times New Roman" w:hAnsi="Calibri" w:cs="Times New Roman"/>
          <w:lang w:eastAsia="es-ES"/>
        </w:rPr>
        <w:t xml:space="preserve">El importe concedido en la partida de Personal se destinará a una vinculación profesional/laboral, en la </w:t>
      </w:r>
      <w:r w:rsidRPr="00FB1EDE">
        <w:rPr>
          <w:rFonts w:ascii="Calibri" w:eastAsia="Times New Roman" w:hAnsi="Calibri" w:cs="Times New Roman"/>
          <w:lang w:eastAsia="es-ES"/>
        </w:rPr>
        <w:t>modalidad que se estime oportuna</w:t>
      </w:r>
      <w:r w:rsidRPr="00FB1EDE">
        <w:rPr>
          <w:rFonts w:eastAsiaTheme="minorEastAsia" w:cs="Times New Roman"/>
          <w:lang w:eastAsia="es-ES"/>
        </w:rPr>
        <w:t xml:space="preserve"> </w:t>
      </w:r>
      <w:r w:rsidRPr="00FB1EDE">
        <w:rPr>
          <w:rFonts w:ascii="Calibri" w:eastAsia="Times New Roman" w:hAnsi="Calibri" w:cs="Times New Roman"/>
          <w:lang w:eastAsia="es-ES"/>
        </w:rPr>
        <w:t xml:space="preserve">y la categoría y dedicación horaria se ajustará a la financiación concedida y al perfil del candidato. Se establece un plazo máximo de 3 meses, desde la fecha </w:t>
      </w:r>
      <w:r w:rsidR="00D174AA" w:rsidRPr="002F2D5F">
        <w:rPr>
          <w:rFonts w:ascii="Calibri" w:eastAsia="Times New Roman" w:hAnsi="Calibri" w:cs="Times New Roman"/>
          <w:lang w:eastAsia="es-ES"/>
        </w:rPr>
        <w:t>de firma del presente documento de aceptación</w:t>
      </w:r>
      <w:r w:rsidRPr="002F2D5F">
        <w:rPr>
          <w:rFonts w:ascii="Calibri" w:eastAsia="Times New Roman" w:hAnsi="Calibri" w:cs="Times New Roman"/>
          <w:lang w:eastAsia="es-ES"/>
        </w:rPr>
        <w:t xml:space="preserve">, para la presentación de la documentación necesaria </w:t>
      </w:r>
      <w:r w:rsidR="00D174AA" w:rsidRPr="002F2D5F">
        <w:rPr>
          <w:rFonts w:ascii="Calibri" w:eastAsia="Times New Roman" w:hAnsi="Calibri" w:cs="Times New Roman"/>
          <w:lang w:eastAsia="es-ES"/>
        </w:rPr>
        <w:t xml:space="preserve">en el </w:t>
      </w:r>
      <w:r w:rsidR="00D174AA" w:rsidRPr="002F2D5F">
        <w:rPr>
          <w:rFonts w:ascii="Calibri" w:eastAsia="Times New Roman" w:hAnsi="Calibri" w:cs="Times New Roman"/>
          <w:b/>
          <w:lang w:eastAsia="es-ES"/>
        </w:rPr>
        <w:t>Área de Desarrollo de Personas</w:t>
      </w:r>
      <w:r w:rsidR="00D174AA" w:rsidRPr="002F2D5F">
        <w:rPr>
          <w:rFonts w:ascii="Calibri" w:eastAsia="Times New Roman" w:hAnsi="Calibri" w:cs="Times New Roman"/>
          <w:lang w:eastAsia="es-ES"/>
        </w:rPr>
        <w:t xml:space="preserve"> del IIS La Fe, </w:t>
      </w:r>
      <w:r w:rsidRPr="002F2D5F">
        <w:rPr>
          <w:rFonts w:ascii="Calibri" w:eastAsia="Times New Roman" w:hAnsi="Calibri" w:cs="Times New Roman"/>
          <w:lang w:eastAsia="es-ES"/>
        </w:rPr>
        <w:t>para el inicio del proceso de selección y contratación del personal.</w:t>
      </w:r>
    </w:p>
    <w:p w14:paraId="222B4647" w14:textId="38E79A5B" w:rsidR="00DC45C9" w:rsidRPr="0034236F" w:rsidRDefault="00DC45C9" w:rsidP="00836E34">
      <w:pPr>
        <w:autoSpaceDE w:val="0"/>
        <w:autoSpaceDN w:val="0"/>
        <w:adjustRightInd w:val="0"/>
        <w:spacing w:before="120" w:after="0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2F2D5F">
        <w:rPr>
          <w:rFonts w:ascii="Calibri" w:eastAsia="Times New Roman" w:hAnsi="Calibri" w:cs="Times New Roman"/>
          <w:color w:val="000000"/>
          <w:lang w:eastAsia="es-ES"/>
        </w:rPr>
        <w:t>Para la gestión de</w:t>
      </w:r>
      <w:r w:rsidR="0034236F">
        <w:rPr>
          <w:rFonts w:ascii="Calibri" w:eastAsia="Times New Roman" w:hAnsi="Calibri" w:cs="Times New Roman"/>
          <w:color w:val="000000"/>
          <w:lang w:eastAsia="es-ES"/>
        </w:rPr>
        <w:t>l resto de g</w:t>
      </w:r>
      <w:r w:rsidRPr="0034236F">
        <w:rPr>
          <w:rFonts w:ascii="Calibri" w:eastAsia="Times New Roman" w:hAnsi="Calibri" w:cs="Times New Roman"/>
          <w:color w:val="000000"/>
          <w:lang w:eastAsia="es-ES"/>
        </w:rPr>
        <w:t xml:space="preserve">astos a través del IIS La Fe, rogamos atender las siguientes pautas (dando cumplimiento a la nueva Ley 9/2017, de 8 de noviembre, de contratación del Sector Público): </w:t>
      </w:r>
    </w:p>
    <w:p w14:paraId="48E62B9B" w14:textId="6A703C21" w:rsidR="00FB1EDE" w:rsidRDefault="00DC45C9" w:rsidP="00836E3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120" w:after="0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FB1EDE">
        <w:rPr>
          <w:rFonts w:ascii="Calibri" w:eastAsia="Times New Roman" w:hAnsi="Calibri" w:cs="Times New Roman"/>
          <w:color w:val="000000"/>
          <w:lang w:eastAsia="es-ES"/>
        </w:rPr>
        <w:t>Antes de generar cualquier gasto (compra de bien o servicio) el equipo investigador debe solicitar la correspondiente autorización de gasto</w:t>
      </w:r>
      <w:r w:rsidR="007A6F1E">
        <w:rPr>
          <w:rFonts w:ascii="Calibri" w:eastAsia="Times New Roman" w:hAnsi="Calibri" w:cs="Times New Roman"/>
          <w:color w:val="000000"/>
          <w:lang w:eastAsia="es-ES"/>
        </w:rPr>
        <w:t>,</w:t>
      </w:r>
      <w:r w:rsidRPr="00FB1EDE"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r w:rsidR="00FB1EDE">
        <w:rPr>
          <w:rFonts w:ascii="Calibri" w:eastAsia="Times New Roman" w:hAnsi="Calibri" w:cs="Times New Roman"/>
          <w:color w:val="000000"/>
          <w:lang w:eastAsia="es-ES"/>
        </w:rPr>
        <w:t>a</w:t>
      </w:r>
      <w:r w:rsidR="0034236F">
        <w:rPr>
          <w:rFonts w:ascii="Calibri" w:eastAsia="Times New Roman" w:hAnsi="Calibri" w:cs="Times New Roman"/>
          <w:color w:val="000000"/>
          <w:lang w:eastAsia="es-ES"/>
        </w:rPr>
        <w:t xml:space="preserve"> través </w:t>
      </w:r>
      <w:r w:rsidR="001B609F">
        <w:rPr>
          <w:rFonts w:ascii="Calibri" w:eastAsia="Times New Roman" w:hAnsi="Calibri" w:cs="Times New Roman"/>
          <w:color w:val="000000"/>
          <w:lang w:eastAsia="es-ES"/>
        </w:rPr>
        <w:t>de</w:t>
      </w:r>
      <w:r w:rsidR="00FB1EDE">
        <w:rPr>
          <w:rFonts w:ascii="Calibri" w:eastAsia="Times New Roman" w:hAnsi="Calibri" w:cs="Times New Roman"/>
          <w:color w:val="000000"/>
          <w:lang w:eastAsia="es-ES"/>
        </w:rPr>
        <w:t xml:space="preserve"> un nuevo </w:t>
      </w:r>
      <w:r w:rsidR="0034236F">
        <w:rPr>
          <w:rFonts w:ascii="Calibri" w:eastAsia="Times New Roman" w:hAnsi="Calibri" w:cs="Times New Roman"/>
          <w:color w:val="000000"/>
          <w:lang w:eastAsia="es-ES"/>
        </w:rPr>
        <w:t>expediente de Contrato Menor</w:t>
      </w:r>
      <w:r w:rsidR="00FB1EDE">
        <w:rPr>
          <w:rFonts w:ascii="Calibri" w:eastAsia="Times New Roman" w:hAnsi="Calibri" w:cs="Times New Roman"/>
          <w:color w:val="000000"/>
          <w:lang w:eastAsia="es-ES"/>
        </w:rPr>
        <w:t xml:space="preserve">, que deberá </w:t>
      </w:r>
      <w:r w:rsidR="001B609F">
        <w:rPr>
          <w:rFonts w:ascii="Calibri" w:eastAsia="Times New Roman" w:hAnsi="Calibri" w:cs="Times New Roman"/>
          <w:color w:val="000000"/>
          <w:lang w:eastAsia="es-ES"/>
        </w:rPr>
        <w:t>gestionar</w:t>
      </w:r>
      <w:r w:rsidR="007A6F1E"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r w:rsidR="00FB1EDE">
        <w:rPr>
          <w:rFonts w:ascii="Calibri" w:eastAsia="Times New Roman" w:hAnsi="Calibri" w:cs="Times New Roman"/>
          <w:color w:val="000000"/>
          <w:lang w:eastAsia="es-ES"/>
        </w:rPr>
        <w:t>adjuntando presupuesto y declaración responsable firmada por la empresa proveedora</w:t>
      </w:r>
      <w:r w:rsidR="00000A8A">
        <w:rPr>
          <w:rFonts w:ascii="Calibri" w:eastAsia="Times New Roman" w:hAnsi="Calibri" w:cs="Times New Roman"/>
          <w:color w:val="000000"/>
          <w:lang w:eastAsia="es-ES"/>
        </w:rPr>
        <w:t>, y presentar en el Área Jurídica del IIS La Fe</w:t>
      </w:r>
      <w:r w:rsidRPr="0034236F">
        <w:rPr>
          <w:rFonts w:ascii="Calibri" w:eastAsia="Times New Roman" w:hAnsi="Calibri" w:cs="Times New Roman"/>
          <w:color w:val="000000"/>
          <w:lang w:eastAsia="es-ES"/>
        </w:rPr>
        <w:t>.</w:t>
      </w:r>
    </w:p>
    <w:p w14:paraId="3F163D68" w14:textId="2B2B7212" w:rsidR="00000A8A" w:rsidRDefault="00FB1EDE" w:rsidP="00000A8A">
      <w:pPr>
        <w:autoSpaceDE w:val="0"/>
        <w:autoSpaceDN w:val="0"/>
        <w:adjustRightInd w:val="0"/>
        <w:spacing w:before="120" w:after="0"/>
        <w:jc w:val="both"/>
        <w:rPr>
          <w:rStyle w:val="Hipervnculo"/>
        </w:rPr>
      </w:pPr>
      <w:r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hyperlink r:id="rId15" w:history="1">
        <w:r w:rsidR="00000A8A">
          <w:rPr>
            <w:rStyle w:val="Hipervnculo"/>
          </w:rPr>
          <w:t>https://remote.iislafe.san.gva.es/intranet/</w:t>
        </w:r>
      </w:hyperlink>
      <w:r w:rsidR="00000A8A" w:rsidRPr="002B4A09" w:rsidDel="002B4A09">
        <w:t xml:space="preserve"> </w:t>
      </w:r>
      <w:r w:rsidR="00000A8A">
        <w:t>DOCUMENTACIÓN/COMPRAS</w:t>
      </w:r>
    </w:p>
    <w:p w14:paraId="181589EF" w14:textId="4C7DD903" w:rsidR="00DC45C9" w:rsidRPr="0034236F" w:rsidRDefault="00DC45C9" w:rsidP="00836E3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714" w:hanging="357"/>
        <w:contextualSpacing w:val="0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34236F">
        <w:rPr>
          <w:rFonts w:ascii="Calibri" w:eastAsia="Times New Roman" w:hAnsi="Calibri" w:cs="Times New Roman"/>
          <w:color w:val="000000"/>
          <w:lang w:eastAsia="es-ES"/>
        </w:rPr>
        <w:t xml:space="preserve">Una vez aprobado el </w:t>
      </w:r>
      <w:r w:rsidR="0034236F">
        <w:rPr>
          <w:rFonts w:ascii="Calibri" w:eastAsia="Times New Roman" w:hAnsi="Calibri" w:cs="Times New Roman"/>
          <w:color w:val="000000"/>
          <w:lang w:eastAsia="es-ES"/>
        </w:rPr>
        <w:t>Contrato Menor</w:t>
      </w:r>
      <w:r w:rsidRPr="0034236F"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="0034236F">
        <w:rPr>
          <w:rFonts w:ascii="Calibri" w:eastAsia="Times New Roman" w:hAnsi="Calibri" w:cs="Times New Roman"/>
          <w:color w:val="000000"/>
          <w:lang w:eastAsia="es-ES"/>
        </w:rPr>
        <w:t>se</w:t>
      </w:r>
      <w:r w:rsidRPr="0034236F">
        <w:rPr>
          <w:rFonts w:ascii="Calibri" w:eastAsia="Times New Roman" w:hAnsi="Calibri" w:cs="Times New Roman"/>
          <w:color w:val="000000"/>
          <w:lang w:eastAsia="es-ES"/>
        </w:rPr>
        <w:t xml:space="preserve"> le notificará para que pueda realizar la compra. Los datos fiscales del IIS La Fe son:</w:t>
      </w:r>
    </w:p>
    <w:p w14:paraId="0D594CD3" w14:textId="427266DE" w:rsidR="00DC45C9" w:rsidRPr="0034236F" w:rsidRDefault="00DC45C9" w:rsidP="00836E34">
      <w:pPr>
        <w:autoSpaceDE w:val="0"/>
        <w:autoSpaceDN w:val="0"/>
        <w:adjustRightInd w:val="0"/>
        <w:spacing w:after="0"/>
        <w:ind w:left="1276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34236F">
        <w:rPr>
          <w:rFonts w:ascii="Calibri" w:eastAsia="Times New Roman" w:hAnsi="Calibri" w:cs="Times New Roman"/>
          <w:color w:val="000000"/>
          <w:lang w:eastAsia="es-ES"/>
        </w:rPr>
        <w:t xml:space="preserve">Fundación para la Investigación del Hospital </w:t>
      </w:r>
      <w:r w:rsidR="00B90265">
        <w:rPr>
          <w:rFonts w:ascii="Calibri" w:eastAsia="Times New Roman" w:hAnsi="Calibri" w:cs="Times New Roman"/>
          <w:color w:val="000000"/>
          <w:lang w:eastAsia="es-ES"/>
        </w:rPr>
        <w:t xml:space="preserve">Universitario </w:t>
      </w:r>
      <w:r w:rsidRPr="0034236F">
        <w:rPr>
          <w:rFonts w:ascii="Calibri" w:eastAsia="Times New Roman" w:hAnsi="Calibri" w:cs="Times New Roman"/>
          <w:color w:val="000000"/>
          <w:lang w:eastAsia="es-ES"/>
        </w:rPr>
        <w:t>La Fe</w:t>
      </w:r>
    </w:p>
    <w:p w14:paraId="2C6D6432" w14:textId="37B8C48C" w:rsidR="00DC45C9" w:rsidRPr="002F2D5F" w:rsidRDefault="00DC45C9" w:rsidP="00836E34">
      <w:pPr>
        <w:autoSpaceDE w:val="0"/>
        <w:autoSpaceDN w:val="0"/>
        <w:adjustRightInd w:val="0"/>
        <w:spacing w:after="0"/>
        <w:ind w:left="1276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FB1EDE">
        <w:rPr>
          <w:rFonts w:ascii="Calibri" w:eastAsia="Times New Roman" w:hAnsi="Calibri" w:cs="Times New Roman"/>
          <w:color w:val="000000"/>
          <w:lang w:eastAsia="es-ES"/>
        </w:rPr>
        <w:t>Avda. Fernando Abril Martorell, 106, Torre A, 7ª Planta</w:t>
      </w:r>
      <w:r w:rsidR="00B66778">
        <w:rPr>
          <w:rFonts w:ascii="Calibri" w:eastAsia="Times New Roman" w:hAnsi="Calibri" w:cs="Times New Roman"/>
          <w:color w:val="000000"/>
          <w:lang w:eastAsia="es-ES"/>
        </w:rPr>
        <w:t xml:space="preserve">. </w:t>
      </w:r>
      <w:r w:rsidRPr="002F2D5F">
        <w:rPr>
          <w:rFonts w:ascii="Calibri" w:eastAsia="Times New Roman" w:hAnsi="Calibri" w:cs="Times New Roman"/>
          <w:color w:val="000000"/>
          <w:lang w:eastAsia="es-ES"/>
        </w:rPr>
        <w:t>46026 Valencia</w:t>
      </w:r>
    </w:p>
    <w:p w14:paraId="325EABE8" w14:textId="102B0300" w:rsidR="00DC45C9" w:rsidRPr="002F2D5F" w:rsidRDefault="00DC45C9" w:rsidP="00836E34">
      <w:pPr>
        <w:autoSpaceDE w:val="0"/>
        <w:autoSpaceDN w:val="0"/>
        <w:adjustRightInd w:val="0"/>
        <w:spacing w:after="0"/>
        <w:ind w:left="1276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2F2D5F">
        <w:rPr>
          <w:rFonts w:ascii="Calibri" w:eastAsia="Times New Roman" w:hAnsi="Calibri" w:cs="Times New Roman"/>
          <w:color w:val="000000"/>
          <w:lang w:eastAsia="es-ES"/>
        </w:rPr>
        <w:t xml:space="preserve">CIF: G97067557 </w:t>
      </w:r>
    </w:p>
    <w:p w14:paraId="7160EFFF" w14:textId="1624A13A" w:rsidR="00DC45C9" w:rsidRPr="00415B55" w:rsidRDefault="00DC45C9" w:rsidP="00836E34">
      <w:pPr>
        <w:autoSpaceDE w:val="0"/>
        <w:autoSpaceDN w:val="0"/>
        <w:adjustRightInd w:val="0"/>
        <w:spacing w:before="240" w:after="0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415B55">
        <w:rPr>
          <w:rFonts w:ascii="Calibri" w:eastAsia="Times New Roman" w:hAnsi="Calibri" w:cs="Times New Roman"/>
          <w:color w:val="000000"/>
          <w:u w:val="single"/>
          <w:lang w:eastAsia="es-ES"/>
        </w:rPr>
        <w:t>IMPORTANTE</w:t>
      </w:r>
      <w:r w:rsidRPr="00415B55">
        <w:rPr>
          <w:rFonts w:ascii="Calibri" w:eastAsia="Times New Roman" w:hAnsi="Calibri" w:cs="Times New Roman"/>
          <w:color w:val="000000"/>
          <w:lang w:eastAsia="es-ES"/>
        </w:rPr>
        <w:t xml:space="preserve">: Información a indicar a los proveedores: </w:t>
      </w:r>
    </w:p>
    <w:p w14:paraId="2EE40F63" w14:textId="5897BBC4" w:rsidR="00DC45C9" w:rsidRPr="00FB1EDE" w:rsidRDefault="00DC45C9" w:rsidP="00836E3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120" w:after="0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FB1EDE">
        <w:rPr>
          <w:rFonts w:ascii="Calibri" w:eastAsia="Times New Roman" w:hAnsi="Calibri" w:cs="Times New Roman"/>
          <w:color w:val="000000"/>
          <w:lang w:eastAsia="es-ES"/>
        </w:rPr>
        <w:t xml:space="preserve">Las facturas deben contener el código interno del </w:t>
      </w:r>
      <w:r w:rsidR="00271FD2">
        <w:rPr>
          <w:rFonts w:ascii="Calibri" w:eastAsia="Times New Roman" w:hAnsi="Calibri" w:cs="Times New Roman"/>
          <w:color w:val="000000"/>
          <w:lang w:eastAsia="es-ES"/>
        </w:rPr>
        <w:t xml:space="preserve">Proyecto y del </w:t>
      </w:r>
      <w:r w:rsidR="00FB1EDE">
        <w:rPr>
          <w:rFonts w:ascii="Calibri" w:eastAsia="Times New Roman" w:hAnsi="Calibri" w:cs="Times New Roman"/>
          <w:color w:val="000000"/>
          <w:lang w:eastAsia="es-ES"/>
        </w:rPr>
        <w:t xml:space="preserve">Contrato Menor </w:t>
      </w:r>
      <w:r w:rsidRPr="00FB1EDE">
        <w:rPr>
          <w:rFonts w:ascii="Calibri" w:eastAsia="Times New Roman" w:hAnsi="Calibri" w:cs="Times New Roman"/>
          <w:color w:val="000000"/>
          <w:lang w:eastAsia="es-ES"/>
        </w:rPr>
        <w:t xml:space="preserve">asignado por el IIS La Fe. </w:t>
      </w:r>
    </w:p>
    <w:p w14:paraId="6CEA7D76" w14:textId="463F163A" w:rsidR="00DC45C9" w:rsidRPr="00FB1EDE" w:rsidRDefault="00DC45C9" w:rsidP="00836E3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120" w:after="0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FB1EDE">
        <w:rPr>
          <w:rFonts w:ascii="Calibri" w:eastAsia="Times New Roman" w:hAnsi="Calibri" w:cs="Times New Roman"/>
          <w:color w:val="000000"/>
          <w:lang w:eastAsia="es-ES"/>
        </w:rPr>
        <w:t xml:space="preserve">Se recomienda </w:t>
      </w:r>
      <w:r w:rsidR="00FB1EDE">
        <w:rPr>
          <w:rFonts w:ascii="Calibri" w:eastAsia="Times New Roman" w:hAnsi="Calibri" w:cs="Times New Roman"/>
          <w:color w:val="000000"/>
          <w:lang w:eastAsia="es-ES"/>
        </w:rPr>
        <w:t xml:space="preserve">que </w:t>
      </w:r>
      <w:r w:rsidRPr="00FB1EDE">
        <w:rPr>
          <w:rFonts w:ascii="Calibri" w:eastAsia="Times New Roman" w:hAnsi="Calibri" w:cs="Times New Roman"/>
          <w:color w:val="000000"/>
          <w:lang w:eastAsia="es-ES"/>
        </w:rPr>
        <w:t>las facturas</w:t>
      </w:r>
      <w:r w:rsidR="00FB1EDE">
        <w:rPr>
          <w:rFonts w:ascii="Calibri" w:eastAsia="Times New Roman" w:hAnsi="Calibri" w:cs="Times New Roman"/>
          <w:color w:val="000000"/>
          <w:lang w:eastAsia="es-ES"/>
        </w:rPr>
        <w:t xml:space="preserve"> estén disponibles</w:t>
      </w:r>
      <w:r w:rsidRPr="00FB1EDE">
        <w:rPr>
          <w:rFonts w:ascii="Calibri" w:eastAsia="Times New Roman" w:hAnsi="Calibri" w:cs="Times New Roman"/>
          <w:color w:val="000000"/>
          <w:lang w:eastAsia="es-ES"/>
        </w:rPr>
        <w:t xml:space="preserve">, al menos quince días antes de la finalización del plazo de ejecución del proyecto, para su correcta gestión y pago antes de la finalización del mismo. </w:t>
      </w:r>
    </w:p>
    <w:p w14:paraId="79080370" w14:textId="5CEE5380" w:rsidR="00DC45C9" w:rsidRPr="00FB1EDE" w:rsidRDefault="00DC45C9" w:rsidP="00836E34">
      <w:pPr>
        <w:autoSpaceDE w:val="0"/>
        <w:autoSpaceDN w:val="0"/>
        <w:adjustRightInd w:val="0"/>
        <w:spacing w:before="240" w:after="0"/>
        <w:jc w:val="both"/>
        <w:rPr>
          <w:rFonts w:ascii="Calibri" w:eastAsia="Times New Roman" w:hAnsi="Calibri" w:cs="Times New Roman"/>
          <w:color w:val="000000"/>
          <w:u w:val="single"/>
          <w:lang w:eastAsia="es-ES"/>
        </w:rPr>
      </w:pPr>
      <w:r w:rsidRPr="00FB1EDE">
        <w:rPr>
          <w:rFonts w:ascii="Calibri" w:eastAsia="Times New Roman" w:hAnsi="Calibri" w:cs="Times New Roman"/>
          <w:color w:val="000000"/>
          <w:u w:val="single"/>
          <w:lang w:eastAsia="es-ES"/>
        </w:rPr>
        <w:t xml:space="preserve">Gestión de gastos asociados a viajes / formación: </w:t>
      </w:r>
    </w:p>
    <w:p w14:paraId="7D24BD42" w14:textId="2FEF75DE" w:rsidR="00FB1EDE" w:rsidRDefault="00DC45C9" w:rsidP="00836E34">
      <w:pPr>
        <w:autoSpaceDE w:val="0"/>
        <w:autoSpaceDN w:val="0"/>
        <w:adjustRightInd w:val="0"/>
        <w:spacing w:before="120" w:after="0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FB1EDE">
        <w:rPr>
          <w:rFonts w:ascii="Calibri" w:eastAsia="Times New Roman" w:hAnsi="Calibri" w:cs="Times New Roman"/>
          <w:color w:val="000000"/>
          <w:lang w:eastAsia="es-ES"/>
        </w:rPr>
        <w:t>En el caso de las liquidaciones de gastos por viaje</w:t>
      </w:r>
      <w:r w:rsidR="00FB1EDE">
        <w:rPr>
          <w:rFonts w:ascii="Calibri" w:eastAsia="Times New Roman" w:hAnsi="Calibri" w:cs="Times New Roman"/>
          <w:color w:val="000000"/>
          <w:lang w:eastAsia="es-ES"/>
        </w:rPr>
        <w:t>s, alojamiento y manutención, se deberán presentar los correspondientes formularios:</w:t>
      </w:r>
    </w:p>
    <w:p w14:paraId="1F14EA3E" w14:textId="05AFBD7A" w:rsidR="002B4A09" w:rsidRDefault="00134256" w:rsidP="00836E34">
      <w:pPr>
        <w:autoSpaceDE w:val="0"/>
        <w:autoSpaceDN w:val="0"/>
        <w:adjustRightInd w:val="0"/>
        <w:spacing w:before="120" w:after="0"/>
        <w:jc w:val="both"/>
        <w:rPr>
          <w:rStyle w:val="Hipervnculo"/>
        </w:rPr>
      </w:pPr>
      <w:hyperlink r:id="rId16" w:history="1">
        <w:r w:rsidR="002B4A09">
          <w:rPr>
            <w:rStyle w:val="Hipervnculo"/>
          </w:rPr>
          <w:t>https://remote.iislafe.san.gva.es/intranet/</w:t>
        </w:r>
      </w:hyperlink>
      <w:r w:rsidR="002B4A09" w:rsidRPr="002B4A09" w:rsidDel="002B4A09">
        <w:t xml:space="preserve"> </w:t>
      </w:r>
      <w:r w:rsidR="002B4A09">
        <w:t>DOCUMENTACIÓN/SOLICITUDES Y FORMULARIOS</w:t>
      </w:r>
    </w:p>
    <w:p w14:paraId="285E5DEB" w14:textId="2A2D1896" w:rsidR="00DC45C9" w:rsidRDefault="00DC45C9" w:rsidP="00836E34">
      <w:pPr>
        <w:autoSpaceDE w:val="0"/>
        <w:autoSpaceDN w:val="0"/>
        <w:adjustRightInd w:val="0"/>
        <w:spacing w:before="120" w:after="0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FB1EDE">
        <w:rPr>
          <w:rFonts w:ascii="Calibri" w:eastAsia="Times New Roman" w:hAnsi="Calibri" w:cs="Times New Roman"/>
          <w:color w:val="000000"/>
          <w:lang w:eastAsia="es-ES"/>
        </w:rPr>
        <w:t>Dicho formulario se presentará en papel a la atención del Área Económica</w:t>
      </w:r>
      <w:r w:rsidR="007954A6">
        <w:rPr>
          <w:rFonts w:ascii="Calibri" w:eastAsia="Times New Roman" w:hAnsi="Calibri" w:cs="Times New Roman"/>
          <w:color w:val="000000"/>
          <w:lang w:eastAsia="es-ES"/>
        </w:rPr>
        <w:t>,</w:t>
      </w:r>
      <w:r w:rsidRPr="00FB1EDE">
        <w:rPr>
          <w:rFonts w:ascii="Calibri" w:eastAsia="Times New Roman" w:hAnsi="Calibri" w:cs="Times New Roman"/>
          <w:color w:val="000000"/>
          <w:lang w:eastAsia="es-ES"/>
        </w:rPr>
        <w:t xml:space="preserve"> en formato original, debidamente rellanado y firmado; y sin que éste contenga tachones o errores de forma. </w:t>
      </w:r>
      <w:r w:rsidR="007954A6"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r w:rsidRPr="00FB1EDE">
        <w:rPr>
          <w:rFonts w:ascii="Calibri" w:eastAsia="Times New Roman" w:hAnsi="Calibri" w:cs="Times New Roman"/>
          <w:color w:val="000000"/>
          <w:lang w:eastAsia="es-ES"/>
        </w:rPr>
        <w:t xml:space="preserve">Para cada uno de los conceptos detallados en el formulario, deberán presentar todos los tickets o justificantes probatorios de los gastos incurridos; en caso contrario no es posible realizar el reembolso. </w:t>
      </w:r>
    </w:p>
    <w:p w14:paraId="3EA411FB" w14:textId="4848FD83" w:rsidR="00AF0355" w:rsidRDefault="00DC45C9" w:rsidP="00836E34">
      <w:pPr>
        <w:autoSpaceDE w:val="0"/>
        <w:autoSpaceDN w:val="0"/>
        <w:adjustRightInd w:val="0"/>
        <w:spacing w:before="120" w:after="0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FB1EDE">
        <w:rPr>
          <w:rFonts w:ascii="Calibri" w:eastAsia="Times New Roman" w:hAnsi="Calibri" w:cs="Times New Roman"/>
          <w:color w:val="000000"/>
          <w:lang w:eastAsia="es-ES"/>
        </w:rPr>
        <w:t>El importe máximo justificable para los gastos de alojamiento y manutención será el marcado por el Real Decreto 462/2002, de 24 de mayo, sobre indemnizaciones por razón del servicio (el IIS La Fe está categorizado como Grupo 2).</w:t>
      </w:r>
    </w:p>
    <w:p w14:paraId="598784AA" w14:textId="59D107E7" w:rsidR="00BE0E0B" w:rsidRDefault="00BE0E0B" w:rsidP="00836E34">
      <w:pPr>
        <w:autoSpaceDE w:val="0"/>
        <w:autoSpaceDN w:val="0"/>
        <w:adjustRightInd w:val="0"/>
        <w:spacing w:before="120" w:after="0"/>
        <w:jc w:val="both"/>
        <w:rPr>
          <w:rFonts w:ascii="Calibri" w:eastAsia="Times New Roman" w:hAnsi="Calibri" w:cs="Times New Roman"/>
          <w:color w:val="000000"/>
          <w:lang w:eastAsia="es-ES"/>
        </w:rPr>
      </w:pPr>
      <w:bookmarkStart w:id="1" w:name="_Hlk22912414"/>
      <w:r w:rsidRPr="00641E51">
        <w:rPr>
          <w:rFonts w:ascii="Calibri" w:eastAsia="Times New Roman" w:hAnsi="Calibri" w:cs="Times New Roman"/>
          <w:color w:val="000000"/>
          <w:lang w:eastAsia="es-ES"/>
        </w:rPr>
        <w:t xml:space="preserve">Los importes no ejecutados </w:t>
      </w:r>
      <w:r>
        <w:rPr>
          <w:rFonts w:ascii="Calibri" w:eastAsia="Times New Roman" w:hAnsi="Calibri" w:cs="Times New Roman"/>
          <w:color w:val="000000"/>
          <w:lang w:eastAsia="es-ES"/>
        </w:rPr>
        <w:t>serán</w:t>
      </w:r>
      <w:r w:rsidRPr="00641E51">
        <w:rPr>
          <w:rFonts w:ascii="Calibri" w:eastAsia="Times New Roman" w:hAnsi="Calibri" w:cs="Times New Roman"/>
          <w:color w:val="000000"/>
          <w:lang w:eastAsia="es-ES"/>
        </w:rPr>
        <w:t xml:space="preserve"> reintegrados al </w:t>
      </w:r>
      <w:r>
        <w:rPr>
          <w:rFonts w:ascii="Calibri" w:eastAsia="Times New Roman" w:hAnsi="Calibri" w:cs="Times New Roman"/>
          <w:color w:val="000000"/>
          <w:lang w:eastAsia="es-ES"/>
        </w:rPr>
        <w:t>IIS La Fe</w:t>
      </w:r>
      <w:r w:rsidRPr="00641E51">
        <w:rPr>
          <w:rFonts w:ascii="Calibri" w:eastAsia="Times New Roman" w:hAnsi="Calibri" w:cs="Times New Roman"/>
          <w:color w:val="000000"/>
          <w:lang w:eastAsia="es-ES"/>
        </w:rPr>
        <w:t xml:space="preserve"> en plazo no superior a tres meses desde la finalización del proyecto.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Esta acción será desarrollada por el Área </w:t>
      </w:r>
      <w:r w:rsidR="00236EBA">
        <w:rPr>
          <w:rFonts w:ascii="Calibri" w:eastAsia="Times New Roman" w:hAnsi="Calibri" w:cs="Times New Roman"/>
          <w:color w:val="000000"/>
          <w:lang w:eastAsia="es-ES"/>
        </w:rPr>
        <w:t xml:space="preserve">de Gestión </w:t>
      </w:r>
      <w:r>
        <w:rPr>
          <w:rFonts w:ascii="Calibri" w:eastAsia="Times New Roman" w:hAnsi="Calibri" w:cs="Times New Roman"/>
          <w:color w:val="000000"/>
          <w:lang w:eastAsia="es-ES"/>
        </w:rPr>
        <w:t>Económica del IIS La Fe.</w:t>
      </w:r>
    </w:p>
    <w:bookmarkEnd w:id="1"/>
    <w:p w14:paraId="1A584181" w14:textId="77777777" w:rsidR="00CE75EB" w:rsidRPr="002F2D5F" w:rsidRDefault="00CE75EB" w:rsidP="00836E34">
      <w:pPr>
        <w:spacing w:after="120"/>
        <w:jc w:val="both"/>
        <w:rPr>
          <w:szCs w:val="20"/>
        </w:rPr>
      </w:pPr>
    </w:p>
    <w:p w14:paraId="7463B482" w14:textId="469E2F4E" w:rsidR="00F72C77" w:rsidRPr="00F72C77" w:rsidRDefault="00F72C77" w:rsidP="00836E34">
      <w:pPr>
        <w:spacing w:after="0"/>
        <w:jc w:val="both"/>
        <w:rPr>
          <w:b/>
          <w:u w:val="single"/>
        </w:rPr>
      </w:pPr>
      <w:r w:rsidRPr="69BFAB8A">
        <w:rPr>
          <w:b/>
          <w:bCs/>
          <w:u w:val="single"/>
        </w:rPr>
        <w:lastRenderedPageBreak/>
        <w:t>4.</w:t>
      </w:r>
      <w:r w:rsidR="00D717ED" w:rsidRPr="69BFAB8A">
        <w:rPr>
          <w:b/>
          <w:bCs/>
          <w:u w:val="single"/>
        </w:rPr>
        <w:t>-</w:t>
      </w:r>
      <w:r w:rsidRPr="69BFAB8A">
        <w:rPr>
          <w:b/>
          <w:bCs/>
          <w:u w:val="single"/>
        </w:rPr>
        <w:t xml:space="preserve"> Información relevante partida ejecutada en la UV</w:t>
      </w:r>
    </w:p>
    <w:p w14:paraId="268DAF77" w14:textId="4A895648" w:rsidR="00B7004A" w:rsidRDefault="00B7004A" w:rsidP="00836E34">
      <w:pPr>
        <w:spacing w:after="120"/>
        <w:jc w:val="both"/>
        <w:rPr>
          <w:szCs w:val="20"/>
        </w:rPr>
      </w:pPr>
      <w:r w:rsidRPr="00B7004A">
        <w:rPr>
          <w:szCs w:val="20"/>
        </w:rPr>
        <w:t>El importe concedido en la partida de Personal se destinará a la contratación de personal conforme la normativa vigente en la Universitat de València</w:t>
      </w:r>
      <w:r>
        <w:rPr>
          <w:szCs w:val="20"/>
        </w:rPr>
        <w:t>.</w:t>
      </w:r>
    </w:p>
    <w:p w14:paraId="11BFDFD3" w14:textId="58AC76C2" w:rsidR="00B7004A" w:rsidRDefault="00B7004A" w:rsidP="00836E34">
      <w:pPr>
        <w:spacing w:after="120"/>
        <w:jc w:val="both"/>
        <w:rPr>
          <w:szCs w:val="20"/>
        </w:rPr>
      </w:pPr>
      <w:r w:rsidRPr="00B7004A">
        <w:rPr>
          <w:szCs w:val="20"/>
        </w:rPr>
        <w:t>La gestión de</w:t>
      </w:r>
      <w:r w:rsidR="00477A23">
        <w:rPr>
          <w:szCs w:val="20"/>
        </w:rPr>
        <w:t>l</w:t>
      </w:r>
      <w:r w:rsidRPr="00B7004A">
        <w:rPr>
          <w:szCs w:val="20"/>
        </w:rPr>
        <w:t xml:space="preserve"> resto de gastos se realizará de acuerdo con los procedimientos y tarifas establecidos en el Reglamento Económico Presupuestario (REP) de la Universitat de València (UV) vigente, a través de la</w:t>
      </w:r>
      <w:r w:rsidR="00477A23">
        <w:rPr>
          <w:szCs w:val="20"/>
        </w:rPr>
        <w:t>s</w:t>
      </w:r>
      <w:r w:rsidRPr="00B7004A">
        <w:rPr>
          <w:szCs w:val="20"/>
        </w:rPr>
        <w:t xml:space="preserve"> unidades de gestión económico-administrativa habitual</w:t>
      </w:r>
      <w:r w:rsidR="00477A23">
        <w:rPr>
          <w:szCs w:val="20"/>
        </w:rPr>
        <w:t>es</w:t>
      </w:r>
      <w:r w:rsidRPr="00B7004A">
        <w:rPr>
          <w:szCs w:val="20"/>
        </w:rPr>
        <w:t xml:space="preserve"> de su departamento, ERI o Instituto.</w:t>
      </w:r>
    </w:p>
    <w:p w14:paraId="3F2C88F9" w14:textId="77777777" w:rsidR="000B3826" w:rsidRPr="009E4B8E" w:rsidRDefault="000B3826" w:rsidP="00836E34">
      <w:pPr>
        <w:jc w:val="both"/>
        <w:rPr>
          <w:b/>
          <w:u w:val="single"/>
        </w:rPr>
      </w:pPr>
      <w:r>
        <w:rPr>
          <w:b/>
          <w:u w:val="single"/>
        </w:rPr>
        <w:t xml:space="preserve">5.- Conocimiento Previo. </w:t>
      </w:r>
      <w:r w:rsidRPr="009E4B8E">
        <w:rPr>
          <w:b/>
          <w:u w:val="single"/>
        </w:rPr>
        <w:t>Derechos de Pro</w:t>
      </w:r>
      <w:r>
        <w:rPr>
          <w:b/>
          <w:u w:val="single"/>
        </w:rPr>
        <w:t>piedad intelectual e Industrial</w:t>
      </w:r>
    </w:p>
    <w:p w14:paraId="32AD22B3" w14:textId="0FC828F8" w:rsidR="002F2D5F" w:rsidRDefault="00E464CA" w:rsidP="00836E34">
      <w:pPr>
        <w:jc w:val="both"/>
      </w:pPr>
      <w:r>
        <w:t>Para llevar a cabo las tareas previstas en la memoria, el</w:t>
      </w:r>
      <w:r w:rsidRPr="00286137">
        <w:t xml:space="preserve"> </w:t>
      </w:r>
      <w:r w:rsidR="00AF4149">
        <w:t>equipo de investigación</w:t>
      </w:r>
      <w:r>
        <w:t>............................ de la UV dispone del</w:t>
      </w:r>
      <w:r w:rsidR="002F2D5F">
        <w:t>/de los</w:t>
      </w:r>
      <w:r>
        <w:t xml:space="preserve"> siguiente</w:t>
      </w:r>
      <w:r w:rsidR="002F2D5F">
        <w:t>/s</w:t>
      </w:r>
      <w:r>
        <w:t xml:space="preserve"> Resultado</w:t>
      </w:r>
      <w:r w:rsidR="002F2D5F">
        <w:t>/s</w:t>
      </w:r>
      <w:r>
        <w:t xml:space="preserve"> [</w:t>
      </w:r>
      <w:r w:rsidRPr="20CAC1AB">
        <w:rPr>
          <w:i/>
          <w:iCs/>
        </w:rPr>
        <w:t>indicar patente/software/know-how (secreto) registrado en la UV</w:t>
      </w:r>
      <w:r>
        <w:t xml:space="preserve">] </w:t>
      </w:r>
    </w:p>
    <w:p w14:paraId="23BEBA29" w14:textId="77777777" w:rsidR="002F2D5F" w:rsidRDefault="00E464CA" w:rsidP="00836E34">
      <w:pPr>
        <w:pStyle w:val="Prrafodelista"/>
        <w:numPr>
          <w:ilvl w:val="0"/>
          <w:numId w:val="18"/>
        </w:numPr>
        <w:jc w:val="both"/>
      </w:pPr>
      <w:r>
        <w:t xml:space="preserve">............................., </w:t>
      </w:r>
    </w:p>
    <w:p w14:paraId="331D5171" w14:textId="77777777" w:rsidR="002F2D5F" w:rsidRDefault="002F2D5F" w:rsidP="00836E34">
      <w:pPr>
        <w:pStyle w:val="Prrafodelista"/>
        <w:numPr>
          <w:ilvl w:val="0"/>
          <w:numId w:val="18"/>
        </w:numPr>
        <w:jc w:val="both"/>
      </w:pPr>
      <w:r>
        <w:t>….</w:t>
      </w:r>
    </w:p>
    <w:p w14:paraId="22B57435" w14:textId="77777777" w:rsidR="00836E34" w:rsidRDefault="00836E34" w:rsidP="00836E34">
      <w:pPr>
        <w:jc w:val="both"/>
      </w:pPr>
      <w:r w:rsidRPr="00DA02F6">
        <w:t>o no dispone de ningún Resultado previo,</w:t>
      </w:r>
      <w:r>
        <w:t xml:space="preserve"> </w:t>
      </w:r>
    </w:p>
    <w:p w14:paraId="4C89A2B4" w14:textId="2A010AAC" w:rsidR="002F2D5F" w:rsidRDefault="00E464CA" w:rsidP="00836E34">
      <w:pPr>
        <w:jc w:val="both"/>
      </w:pPr>
      <w:r>
        <w:t>y el Servicio/Grupo/Unidad/Área [</w:t>
      </w:r>
      <w:r w:rsidRPr="00DA02F6">
        <w:rPr>
          <w:i/>
          <w:iCs/>
        </w:rPr>
        <w:t>elimine lo que no proceda</w:t>
      </w:r>
      <w:r>
        <w:t>]............................ del IIS La Fe/H</w:t>
      </w:r>
      <w:r w:rsidR="002F2D5F">
        <w:t>o</w:t>
      </w:r>
      <w:r>
        <w:t xml:space="preserve">spital La Fe </w:t>
      </w:r>
      <w:r w:rsidR="002F2D5F">
        <w:t xml:space="preserve">dispone del/de los siguiente/s Resultado/s </w:t>
      </w:r>
      <w:r>
        <w:t>[</w:t>
      </w:r>
      <w:r w:rsidRPr="00DA02F6">
        <w:rPr>
          <w:i/>
          <w:iCs/>
        </w:rPr>
        <w:t>indicar patente/software/know-how (secreto) registrado en el IIS La Fe en Fundanet INNOVA</w:t>
      </w:r>
      <w:r w:rsidR="002B4A09" w:rsidRPr="00DA02F6">
        <w:rPr>
          <w:i/>
          <w:iCs/>
        </w:rPr>
        <w:t>CIÓN</w:t>
      </w:r>
      <w:r>
        <w:t>]</w:t>
      </w:r>
    </w:p>
    <w:p w14:paraId="6331DFAF" w14:textId="1805C93C" w:rsidR="00E464CA" w:rsidRDefault="00E464CA" w:rsidP="00836E34">
      <w:pPr>
        <w:pStyle w:val="Prrafodelista"/>
        <w:numPr>
          <w:ilvl w:val="0"/>
          <w:numId w:val="19"/>
        </w:numPr>
        <w:jc w:val="both"/>
      </w:pPr>
      <w:r>
        <w:t>..............................</w:t>
      </w:r>
      <w:r w:rsidR="002F2D5F">
        <w:t>,</w:t>
      </w:r>
    </w:p>
    <w:p w14:paraId="3105B680" w14:textId="0516F58D" w:rsidR="002F2D5F" w:rsidRDefault="002F2D5F" w:rsidP="00836E34">
      <w:pPr>
        <w:pStyle w:val="Prrafodelista"/>
        <w:numPr>
          <w:ilvl w:val="0"/>
          <w:numId w:val="19"/>
        </w:numPr>
        <w:jc w:val="both"/>
      </w:pPr>
      <w:r>
        <w:t>….</w:t>
      </w:r>
    </w:p>
    <w:p w14:paraId="2892F4E6" w14:textId="77777777" w:rsidR="00836E34" w:rsidRDefault="00836E34" w:rsidP="00836E34">
      <w:pPr>
        <w:autoSpaceDE w:val="0"/>
        <w:autoSpaceDN w:val="0"/>
        <w:adjustRightInd w:val="0"/>
        <w:spacing w:before="120" w:after="0"/>
        <w:contextualSpacing/>
        <w:jc w:val="both"/>
      </w:pPr>
      <w:r w:rsidRPr="00DA02F6">
        <w:t>o no dispone de ningún resultado previo.</w:t>
      </w:r>
      <w:r>
        <w:t xml:space="preserve"> </w:t>
      </w:r>
    </w:p>
    <w:p w14:paraId="639B4325" w14:textId="77777777" w:rsidR="00836E34" w:rsidRDefault="00836E34" w:rsidP="00836E34">
      <w:pPr>
        <w:autoSpaceDE w:val="0"/>
        <w:autoSpaceDN w:val="0"/>
        <w:adjustRightInd w:val="0"/>
        <w:spacing w:before="120" w:after="0"/>
        <w:contextualSpacing/>
        <w:jc w:val="both"/>
      </w:pPr>
    </w:p>
    <w:p w14:paraId="49534B57" w14:textId="0C846570" w:rsidR="00E60910" w:rsidRDefault="00E464CA" w:rsidP="00836E34">
      <w:pPr>
        <w:autoSpaceDE w:val="0"/>
        <w:autoSpaceDN w:val="0"/>
        <w:adjustRightInd w:val="0"/>
        <w:spacing w:before="120" w:after="0"/>
        <w:contextualSpacing/>
        <w:jc w:val="both"/>
      </w:pPr>
      <w:r>
        <w:t>Los Resultados de</w:t>
      </w:r>
      <w:r w:rsidR="002F2540">
        <w:t>l Proyecto serán propiedad de</w:t>
      </w:r>
      <w:r w:rsidR="00BA05CC">
        <w:t xml:space="preserve"> la entidad/es a la que pertenece el IP/equipo que lo haya generado (UV - IIS La Fe/Hospital La Fe)</w:t>
      </w:r>
      <w:r w:rsidR="002F2540">
        <w:t xml:space="preserve"> </w:t>
      </w:r>
      <w:r>
        <w:t xml:space="preserve">y cada </w:t>
      </w:r>
      <w:r w:rsidR="00BA05CC">
        <w:t>equipo</w:t>
      </w:r>
      <w:r>
        <w:t xml:space="preserve"> informará de los mismos a la</w:t>
      </w:r>
      <w:r w:rsidR="00BA05CC">
        <w:t xml:space="preserve"> unidad de transferencia de resultados</w:t>
      </w:r>
      <w:r>
        <w:t xml:space="preserve"> de la institución al que está vinculado. En cualquier caso, los conocimientos previos aportados por cada institución serán tenidos en cuenta en la cotitularidad y/o la explotación conjunta de los resultados.</w:t>
      </w:r>
    </w:p>
    <w:p w14:paraId="58590B2C" w14:textId="77777777" w:rsidR="00D87ED2" w:rsidRPr="002F2D5F" w:rsidRDefault="00D87ED2" w:rsidP="002F2D5F">
      <w:pPr>
        <w:spacing w:after="120"/>
        <w:jc w:val="both"/>
        <w:rPr>
          <w:szCs w:val="20"/>
        </w:rPr>
      </w:pPr>
    </w:p>
    <w:p w14:paraId="348E5A8A" w14:textId="47233DCF" w:rsidR="006A767A" w:rsidRDefault="000B3826" w:rsidP="00684319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6</w:t>
      </w:r>
      <w:r w:rsidR="00D717ED">
        <w:rPr>
          <w:b/>
          <w:u w:val="single"/>
        </w:rPr>
        <w:t>.</w:t>
      </w:r>
      <w:r w:rsidR="00666951">
        <w:rPr>
          <w:b/>
          <w:u w:val="single"/>
        </w:rPr>
        <w:t xml:space="preserve">- </w:t>
      </w:r>
      <w:r w:rsidR="00666951" w:rsidRPr="006A767A">
        <w:rPr>
          <w:b/>
          <w:u w:val="single"/>
        </w:rPr>
        <w:t xml:space="preserve">Ejecución </w:t>
      </w:r>
      <w:r w:rsidR="003B7F27">
        <w:rPr>
          <w:b/>
          <w:u w:val="single"/>
        </w:rPr>
        <w:t xml:space="preserve">y </w:t>
      </w:r>
      <w:r w:rsidR="003B7F27" w:rsidRPr="006A767A">
        <w:rPr>
          <w:b/>
          <w:u w:val="single"/>
        </w:rPr>
        <w:t>Justificación</w:t>
      </w:r>
    </w:p>
    <w:p w14:paraId="322A5EFF" w14:textId="77777777" w:rsidR="005D5254" w:rsidRPr="006A767A" w:rsidRDefault="005D5254" w:rsidP="005D5254">
      <w:pPr>
        <w:spacing w:after="0"/>
        <w:jc w:val="both"/>
        <w:rPr>
          <w:b/>
          <w:u w:val="single"/>
        </w:rPr>
      </w:pPr>
    </w:p>
    <w:p w14:paraId="1E8B23BF" w14:textId="3A1B18C8" w:rsidR="005D5254" w:rsidRPr="00E60910" w:rsidRDefault="005D5254" w:rsidP="005D5254">
      <w:pPr>
        <w:pStyle w:val="Prrafodelista"/>
        <w:numPr>
          <w:ilvl w:val="0"/>
          <w:numId w:val="7"/>
        </w:numPr>
        <w:jc w:val="both"/>
        <w:rPr>
          <w:szCs w:val="20"/>
        </w:rPr>
      </w:pPr>
      <w:r w:rsidRPr="00E60910">
        <w:rPr>
          <w:szCs w:val="20"/>
        </w:rPr>
        <w:t xml:space="preserve">El </w:t>
      </w:r>
      <w:r w:rsidRPr="00E60910">
        <w:rPr>
          <w:b/>
          <w:szCs w:val="20"/>
        </w:rPr>
        <w:t>plazo de ejecución</w:t>
      </w:r>
      <w:r w:rsidRPr="00E60910">
        <w:rPr>
          <w:szCs w:val="20"/>
        </w:rPr>
        <w:t xml:space="preserve"> del proyecto comienza </w:t>
      </w:r>
      <w:r w:rsidRPr="002B3B33">
        <w:rPr>
          <w:szCs w:val="20"/>
        </w:rPr>
        <w:t xml:space="preserve">el </w:t>
      </w:r>
      <w:r w:rsidR="00D31441">
        <w:rPr>
          <w:b/>
          <w:szCs w:val="20"/>
        </w:rPr>
        <w:t>01/04/</w:t>
      </w:r>
      <w:r w:rsidR="00606717">
        <w:rPr>
          <w:b/>
          <w:szCs w:val="20"/>
        </w:rPr>
        <w:t>2021</w:t>
      </w:r>
      <w:r w:rsidRPr="002B3B33">
        <w:rPr>
          <w:szCs w:val="20"/>
        </w:rPr>
        <w:t xml:space="preserve"> y </w:t>
      </w:r>
      <w:r w:rsidRPr="002B3B33">
        <w:t>finaliza el</w:t>
      </w:r>
      <w:r w:rsidRPr="00BA05CC">
        <w:rPr>
          <w:b/>
        </w:rPr>
        <w:t xml:space="preserve"> </w:t>
      </w:r>
      <w:r w:rsidR="00D31441">
        <w:rPr>
          <w:b/>
        </w:rPr>
        <w:t>3</w:t>
      </w:r>
      <w:r w:rsidR="00A619C0">
        <w:rPr>
          <w:b/>
        </w:rPr>
        <w:t>1</w:t>
      </w:r>
      <w:r w:rsidR="00D31441">
        <w:rPr>
          <w:b/>
        </w:rPr>
        <w:t>/03</w:t>
      </w:r>
      <w:r w:rsidR="00606717">
        <w:rPr>
          <w:b/>
        </w:rPr>
        <w:t>/2022</w:t>
      </w:r>
      <w:r w:rsidRPr="002B3B33">
        <w:rPr>
          <w:b/>
        </w:rPr>
        <w:t>.</w:t>
      </w:r>
    </w:p>
    <w:p w14:paraId="5AE71853" w14:textId="77777777" w:rsidR="005D5254" w:rsidRDefault="005D5254" w:rsidP="005D5254">
      <w:pPr>
        <w:jc w:val="both"/>
      </w:pPr>
      <w:r w:rsidRPr="002C38B9">
        <w:rPr>
          <w:szCs w:val="20"/>
        </w:rPr>
        <w:t xml:space="preserve">No se podrán imputar gastos anteriores a </w:t>
      </w:r>
      <w:r>
        <w:rPr>
          <w:szCs w:val="20"/>
        </w:rPr>
        <w:t>la</w:t>
      </w:r>
      <w:r w:rsidRPr="002C38B9">
        <w:rPr>
          <w:szCs w:val="20"/>
        </w:rPr>
        <w:t xml:space="preserve"> fecha</w:t>
      </w:r>
      <w:r>
        <w:rPr>
          <w:szCs w:val="20"/>
        </w:rPr>
        <w:t xml:space="preserve"> de inicio</w:t>
      </w:r>
      <w:r w:rsidRPr="002C38B9">
        <w:rPr>
          <w:szCs w:val="20"/>
        </w:rPr>
        <w:t xml:space="preserve"> ni posteriores a la fecha de finalización de ejecución del proyecto.</w:t>
      </w:r>
    </w:p>
    <w:p w14:paraId="6E9CFBFF" w14:textId="77777777" w:rsidR="005D5254" w:rsidRPr="00D9374A" w:rsidRDefault="005D5254" w:rsidP="005D5254">
      <w:pPr>
        <w:spacing w:after="0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D9374A">
        <w:rPr>
          <w:rFonts w:ascii="Calibri" w:eastAsia="Times New Roman" w:hAnsi="Calibri" w:cs="Times New Roman"/>
          <w:color w:val="000000"/>
          <w:lang w:eastAsia="es-ES"/>
        </w:rPr>
        <w:t>La ejecución técnica del proyecto y la distribución de gastos asociados al mismo serán responsabilidad de ambos Investigadores Principales que forman parte del consorcio. En este sentido las instituciones actuarán únicamente como entes gestores.</w:t>
      </w:r>
    </w:p>
    <w:p w14:paraId="177C494B" w14:textId="77777777" w:rsidR="005D5254" w:rsidRDefault="005D5254" w:rsidP="005D5254">
      <w:pPr>
        <w:spacing w:after="0"/>
        <w:jc w:val="both"/>
        <w:rPr>
          <w:i/>
        </w:rPr>
      </w:pPr>
    </w:p>
    <w:p w14:paraId="16148C34" w14:textId="2A1B337C" w:rsidR="005D5254" w:rsidRDefault="005D5254" w:rsidP="005D5254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F72C77">
        <w:rPr>
          <w:rFonts w:ascii="Calibri" w:eastAsia="Times New Roman" w:hAnsi="Calibri" w:cs="Times New Roman"/>
          <w:color w:val="000000"/>
          <w:lang w:eastAsia="es-ES"/>
        </w:rPr>
        <w:t xml:space="preserve">Cualquier modificación del proyecto inicial </w:t>
      </w:r>
      <w:r>
        <w:rPr>
          <w:rFonts w:ascii="Calibri" w:eastAsia="Times New Roman" w:hAnsi="Calibri" w:cs="Times New Roman"/>
          <w:color w:val="000000"/>
          <w:lang w:eastAsia="es-ES"/>
        </w:rPr>
        <w:t>(cambio de IP o solicitud de prórroga)</w:t>
      </w:r>
      <w:r w:rsidRPr="00F72C77"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r w:rsidRPr="006949D0">
        <w:rPr>
          <w:rFonts w:ascii="Calibri" w:eastAsia="Times New Roman" w:hAnsi="Calibri" w:cs="Times New Roman"/>
          <w:color w:val="000000"/>
          <w:lang w:eastAsia="es-ES"/>
        </w:rPr>
        <w:t xml:space="preserve">deberá solicitarse con anterioridad a la finalización del mismo, a través del </w:t>
      </w:r>
      <w:r w:rsidRPr="00836E34">
        <w:rPr>
          <w:rFonts w:ascii="Calibri" w:eastAsia="Times New Roman" w:hAnsi="Calibri" w:cs="Times New Roman"/>
          <w:b/>
          <w:color w:val="000000"/>
          <w:lang w:eastAsia="es-ES"/>
        </w:rPr>
        <w:t>Área de Innovación del IIS La Fe</w:t>
      </w:r>
      <w:r w:rsidRPr="006949D0">
        <w:rPr>
          <w:rFonts w:ascii="Calibri" w:eastAsia="Times New Roman" w:hAnsi="Calibri" w:cs="Times New Roman"/>
          <w:color w:val="000000"/>
          <w:lang w:eastAsia="es-ES"/>
        </w:rPr>
        <w:t xml:space="preserve"> (</w:t>
      </w:r>
      <w:hyperlink r:id="rId17" w:history="1">
        <w:r w:rsidR="002F2D5F" w:rsidRPr="00267B66">
          <w:rPr>
            <w:rStyle w:val="Hipervnculo"/>
            <w:rFonts w:ascii="Calibri" w:eastAsia="Times New Roman" w:hAnsi="Calibri" w:cs="Times New Roman"/>
            <w:b/>
            <w:lang w:eastAsia="es-ES"/>
          </w:rPr>
          <w:t>innovacion@iislafe.es</w:t>
        </w:r>
      </w:hyperlink>
      <w:r w:rsidR="002F2D5F">
        <w:rPr>
          <w:rFonts w:ascii="Calibri" w:eastAsia="Times New Roman" w:hAnsi="Calibri" w:cs="Times New Roman"/>
          <w:b/>
          <w:color w:val="000000"/>
          <w:lang w:eastAsia="es-ES"/>
        </w:rPr>
        <w:t>)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o del </w:t>
      </w:r>
      <w:r w:rsidR="00256615" w:rsidRPr="00D36C37">
        <w:rPr>
          <w:rFonts w:ascii="Calibri" w:eastAsia="Times New Roman" w:hAnsi="Calibri" w:cs="Times New Roman"/>
          <w:b/>
          <w:color w:val="000000"/>
          <w:lang w:eastAsia="es-ES"/>
        </w:rPr>
        <w:t>Servicio</w:t>
      </w:r>
      <w:r w:rsidR="00BA05CC" w:rsidRPr="00D36C37">
        <w:rPr>
          <w:rFonts w:ascii="Calibri" w:eastAsia="Times New Roman" w:hAnsi="Calibri" w:cs="Times New Roman"/>
          <w:b/>
          <w:color w:val="000000"/>
          <w:lang w:eastAsia="es-ES"/>
        </w:rPr>
        <w:t xml:space="preserve"> de Transfer</w:t>
      </w:r>
      <w:r w:rsidR="00256615" w:rsidRPr="00D36C37">
        <w:rPr>
          <w:rFonts w:ascii="Calibri" w:eastAsia="Times New Roman" w:hAnsi="Calibri" w:cs="Times New Roman"/>
          <w:b/>
          <w:color w:val="000000"/>
          <w:lang w:eastAsia="es-ES"/>
        </w:rPr>
        <w:t>e</w:t>
      </w:r>
      <w:r w:rsidR="00BA05CC" w:rsidRPr="00D36C37">
        <w:rPr>
          <w:rFonts w:ascii="Calibri" w:eastAsia="Times New Roman" w:hAnsi="Calibri" w:cs="Times New Roman"/>
          <w:b/>
          <w:color w:val="000000"/>
          <w:lang w:eastAsia="es-ES"/>
        </w:rPr>
        <w:t xml:space="preserve">ncia </w:t>
      </w:r>
      <w:r w:rsidR="00256615" w:rsidRPr="00D36C37">
        <w:rPr>
          <w:rFonts w:ascii="Calibri" w:eastAsia="Times New Roman" w:hAnsi="Calibri" w:cs="Times New Roman"/>
          <w:b/>
          <w:color w:val="000000"/>
          <w:lang w:eastAsia="es-ES"/>
        </w:rPr>
        <w:t>e</w:t>
      </w:r>
      <w:r w:rsidR="00BA05CC" w:rsidRPr="00D36C37">
        <w:rPr>
          <w:rFonts w:ascii="Calibri" w:eastAsia="Times New Roman" w:hAnsi="Calibri" w:cs="Times New Roman"/>
          <w:b/>
          <w:color w:val="000000"/>
          <w:lang w:eastAsia="es-ES"/>
        </w:rPr>
        <w:t xml:space="preserve"> Innovació</w:t>
      </w:r>
      <w:r w:rsidR="00256615" w:rsidRPr="00D36C37">
        <w:rPr>
          <w:rFonts w:ascii="Calibri" w:eastAsia="Times New Roman" w:hAnsi="Calibri" w:cs="Times New Roman"/>
          <w:b/>
          <w:color w:val="000000"/>
          <w:lang w:eastAsia="es-ES"/>
        </w:rPr>
        <w:t>n</w:t>
      </w:r>
      <w:r w:rsidR="00BA05CC" w:rsidRPr="00D36C37">
        <w:rPr>
          <w:rFonts w:ascii="Calibri" w:eastAsia="Times New Roman" w:hAnsi="Calibri" w:cs="Times New Roman"/>
          <w:b/>
          <w:color w:val="000000"/>
          <w:lang w:eastAsia="es-ES"/>
        </w:rPr>
        <w:t xml:space="preserve"> de la UV</w:t>
      </w:r>
      <w:r w:rsidR="00BA05CC" w:rsidRPr="00256615"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r w:rsidRPr="00256615">
        <w:rPr>
          <w:rFonts w:ascii="Calibri" w:eastAsia="Times New Roman" w:hAnsi="Calibri" w:cs="Times New Roman"/>
          <w:b/>
          <w:color w:val="000000"/>
          <w:lang w:eastAsia="es-ES"/>
        </w:rPr>
        <w:t>(</w:t>
      </w:r>
      <w:hyperlink r:id="rId18" w:history="1">
        <w:r w:rsidR="00256615" w:rsidRPr="00256615">
          <w:rPr>
            <w:rStyle w:val="Hipervnculo"/>
            <w:rFonts w:ascii="Calibri" w:eastAsia="Times New Roman" w:hAnsi="Calibri" w:cs="Times New Roman"/>
            <w:b/>
            <w:lang w:eastAsia="es-ES"/>
          </w:rPr>
          <w:t>vlc-biomed@uv.es</w:t>
        </w:r>
      </w:hyperlink>
      <w:r w:rsidR="00256615" w:rsidRPr="00256615">
        <w:rPr>
          <w:rFonts w:ascii="Calibri" w:eastAsia="Times New Roman" w:hAnsi="Calibri" w:cs="Times New Roman"/>
          <w:b/>
          <w:lang w:eastAsia="es-ES"/>
        </w:rPr>
        <w:t>)</w:t>
      </w:r>
      <w:r w:rsidRPr="00256615">
        <w:rPr>
          <w:rFonts w:ascii="Calibri" w:eastAsia="Times New Roman" w:hAnsi="Calibri" w:cs="Times New Roman"/>
          <w:color w:val="000000"/>
          <w:lang w:eastAsia="es-ES"/>
        </w:rPr>
        <w:t>.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r w:rsidRPr="00F72C77">
        <w:rPr>
          <w:rFonts w:ascii="Calibri" w:eastAsia="Times New Roman" w:hAnsi="Calibri" w:cs="Times New Roman"/>
          <w:color w:val="000000"/>
          <w:lang w:eastAsia="es-ES"/>
        </w:rPr>
        <w:t>La Comisión Mixta de Evaluación podrá aprobar o rechazar las modificaciones y/o cambios propuestos.</w:t>
      </w:r>
    </w:p>
    <w:p w14:paraId="2D536515" w14:textId="77777777" w:rsidR="005D5254" w:rsidRDefault="005D5254" w:rsidP="005D5254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es-ES"/>
        </w:rPr>
      </w:pPr>
    </w:p>
    <w:p w14:paraId="7359A753" w14:textId="5B44741B" w:rsidR="005D5254" w:rsidRDefault="005D5254" w:rsidP="005D5254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Lo</w:t>
      </w:r>
      <w:r w:rsidRPr="00F72C77">
        <w:rPr>
          <w:rFonts w:ascii="Calibri" w:eastAsia="Times New Roman" w:hAnsi="Calibri" w:cs="Times New Roman"/>
          <w:color w:val="000000"/>
          <w:lang w:eastAsia="es-ES"/>
        </w:rPr>
        <w:t>s correspondientes cambios de partidas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en el importe financiado por el IIS La Fe</w:t>
      </w:r>
      <w:r w:rsidRPr="00F72C77"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bookmarkStart w:id="2" w:name="_Hlk20820046"/>
      <w:r w:rsidRPr="00F72C77">
        <w:rPr>
          <w:rFonts w:ascii="Calibri" w:eastAsia="Times New Roman" w:hAnsi="Calibri" w:cs="Times New Roman"/>
          <w:color w:val="000000"/>
          <w:lang w:eastAsia="es-ES"/>
        </w:rPr>
        <w:t xml:space="preserve">deberán solicitarse con anterioridad a la finalización del mismo, a través del </w:t>
      </w:r>
      <w:r w:rsidRPr="00F72C77">
        <w:rPr>
          <w:rFonts w:ascii="Calibri" w:eastAsia="Times New Roman" w:hAnsi="Calibri" w:cs="Times New Roman"/>
          <w:b/>
          <w:color w:val="000000"/>
          <w:lang w:eastAsia="es-ES"/>
        </w:rPr>
        <w:t>Área de Innovación</w:t>
      </w:r>
      <w:r w:rsidRPr="00F72C77"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r w:rsidRPr="00C270F9">
        <w:rPr>
          <w:rFonts w:ascii="Calibri" w:eastAsia="Times New Roman" w:hAnsi="Calibri" w:cs="Times New Roman"/>
          <w:b/>
          <w:bCs/>
          <w:color w:val="000000"/>
          <w:lang w:eastAsia="es-ES"/>
        </w:rPr>
        <w:t>del IIS La Fe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(</w:t>
      </w:r>
      <w:hyperlink r:id="rId19" w:history="1">
        <w:r w:rsidRPr="003B740B">
          <w:rPr>
            <w:rStyle w:val="Hipervnculo"/>
            <w:rFonts w:ascii="Calibri" w:eastAsia="Times New Roman" w:hAnsi="Calibri" w:cs="Times New Roman"/>
            <w:lang w:eastAsia="es-ES"/>
          </w:rPr>
          <w:t>innovacion@iislafe.es</w:t>
        </w:r>
      </w:hyperlink>
      <w:r w:rsidR="00256615">
        <w:rPr>
          <w:rFonts w:ascii="Calibri" w:eastAsia="Times New Roman" w:hAnsi="Calibri" w:cs="Times New Roman"/>
          <w:color w:val="000000"/>
          <w:lang w:eastAsia="es-ES"/>
        </w:rPr>
        <w:t>)</w:t>
      </w:r>
      <w:r w:rsidR="000F5C30">
        <w:rPr>
          <w:rFonts w:ascii="Calibri" w:eastAsia="Times New Roman" w:hAnsi="Calibri" w:cs="Times New Roman"/>
          <w:color w:val="000000"/>
          <w:lang w:eastAsia="es-ES"/>
        </w:rPr>
        <w:t xml:space="preserve">. En el caso de que la entidad financiadora sea la UV, deberán comunicar dicho cambio al </w:t>
      </w:r>
      <w:r w:rsidR="00256615" w:rsidRPr="00D36C37">
        <w:rPr>
          <w:rFonts w:ascii="Calibri" w:eastAsia="Times New Roman" w:hAnsi="Calibri" w:cs="Times New Roman"/>
          <w:b/>
          <w:color w:val="000000"/>
          <w:lang w:eastAsia="es-ES"/>
        </w:rPr>
        <w:t>Servicio de Transferencia e Innovación de la UV</w:t>
      </w:r>
      <w:r w:rsidR="000F5C30" w:rsidRPr="000F5C30">
        <w:rPr>
          <w:rFonts w:ascii="Calibri" w:eastAsia="Times New Roman" w:hAnsi="Calibri" w:cs="Times New Roman"/>
          <w:color w:val="000000"/>
          <w:lang w:eastAsia="es-ES"/>
        </w:rPr>
        <w:t xml:space="preserve"> (</w:t>
      </w:r>
      <w:hyperlink r:id="rId20" w:history="1">
        <w:r w:rsidR="000F5C30" w:rsidRPr="000F5C30">
          <w:rPr>
            <w:rStyle w:val="Hipervnculo"/>
            <w:rFonts w:ascii="Calibri" w:eastAsia="Times New Roman" w:hAnsi="Calibri" w:cs="Times New Roman"/>
            <w:lang w:eastAsia="es-ES"/>
          </w:rPr>
          <w:t>vlc-biomed@uv.es</w:t>
        </w:r>
      </w:hyperlink>
      <w:r w:rsidR="000F5C30" w:rsidRPr="000F5C30">
        <w:rPr>
          <w:rFonts w:ascii="Calibri" w:eastAsia="Times New Roman" w:hAnsi="Calibri" w:cs="Times New Roman"/>
          <w:lang w:eastAsia="es-ES"/>
        </w:rPr>
        <w:t>)</w:t>
      </w:r>
      <w:r w:rsidR="00256615" w:rsidRPr="000F5C30">
        <w:rPr>
          <w:rFonts w:ascii="Calibri" w:eastAsia="Times New Roman" w:hAnsi="Calibri" w:cs="Times New Roman"/>
          <w:color w:val="000000"/>
          <w:lang w:eastAsia="es-ES"/>
        </w:rPr>
        <w:t>.</w:t>
      </w:r>
    </w:p>
    <w:bookmarkEnd w:id="2"/>
    <w:p w14:paraId="5904FADD" w14:textId="77777777" w:rsidR="00D9374A" w:rsidRDefault="00D9374A" w:rsidP="00D717ED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es-ES"/>
        </w:rPr>
      </w:pPr>
    </w:p>
    <w:p w14:paraId="07AF1FBA" w14:textId="5C0905F6" w:rsidR="005D5254" w:rsidRPr="002F2D5F" w:rsidRDefault="005D5254" w:rsidP="002F2D5F">
      <w:pPr>
        <w:pStyle w:val="Prrafodelista"/>
        <w:numPr>
          <w:ilvl w:val="0"/>
          <w:numId w:val="7"/>
        </w:numPr>
        <w:jc w:val="both"/>
        <w:rPr>
          <w:szCs w:val="20"/>
        </w:rPr>
      </w:pPr>
      <w:r w:rsidRPr="002F2D5F">
        <w:rPr>
          <w:szCs w:val="20"/>
        </w:rPr>
        <w:t xml:space="preserve">El </w:t>
      </w:r>
      <w:r w:rsidRPr="002F2D5F">
        <w:rPr>
          <w:b/>
          <w:szCs w:val="20"/>
        </w:rPr>
        <w:t>plazo de justificación</w:t>
      </w:r>
      <w:r w:rsidRPr="002F2D5F">
        <w:rPr>
          <w:szCs w:val="20"/>
        </w:rPr>
        <w:t xml:space="preserve"> del proyecto finaliza el </w:t>
      </w:r>
      <w:r w:rsidR="00D36C37">
        <w:rPr>
          <w:b/>
          <w:szCs w:val="20"/>
        </w:rPr>
        <w:t>30/04</w:t>
      </w:r>
      <w:r w:rsidR="000023D5">
        <w:rPr>
          <w:b/>
          <w:szCs w:val="20"/>
        </w:rPr>
        <w:t>/2022.</w:t>
      </w:r>
    </w:p>
    <w:p w14:paraId="6F76B942" w14:textId="1E45FAF1" w:rsidR="005D5254" w:rsidRPr="00F12259" w:rsidRDefault="005D5254" w:rsidP="005D5254">
      <w:pPr>
        <w:spacing w:after="0"/>
        <w:jc w:val="both"/>
        <w:rPr>
          <w:szCs w:val="20"/>
        </w:rPr>
      </w:pPr>
      <w:r w:rsidRPr="00F12259">
        <w:rPr>
          <w:szCs w:val="20"/>
        </w:rPr>
        <w:t xml:space="preserve">La justificación de las ayudas se realizará mediante la presentación de </w:t>
      </w:r>
      <w:r w:rsidR="0087455F">
        <w:rPr>
          <w:szCs w:val="20"/>
        </w:rPr>
        <w:t>la memoria científico-</w:t>
      </w:r>
      <w:r w:rsidR="00453D2D">
        <w:rPr>
          <w:szCs w:val="20"/>
        </w:rPr>
        <w:t>e</w:t>
      </w:r>
      <w:r w:rsidR="009A2714">
        <w:rPr>
          <w:szCs w:val="20"/>
        </w:rPr>
        <w:t>conómica</w:t>
      </w:r>
      <w:r w:rsidR="009A2714" w:rsidRPr="00F12259">
        <w:rPr>
          <w:szCs w:val="20"/>
        </w:rPr>
        <w:t xml:space="preserve"> </w:t>
      </w:r>
      <w:r w:rsidRPr="00F12259">
        <w:rPr>
          <w:szCs w:val="20"/>
        </w:rPr>
        <w:t>que detalle el trabajo realizado</w:t>
      </w:r>
      <w:r w:rsidR="009A2714">
        <w:rPr>
          <w:szCs w:val="20"/>
        </w:rPr>
        <w:t xml:space="preserve"> </w:t>
      </w:r>
      <w:r w:rsidR="0087455F" w:rsidRPr="00F12259">
        <w:rPr>
          <w:szCs w:val="20"/>
        </w:rPr>
        <w:t>durante todo el período del proyecto</w:t>
      </w:r>
      <w:r w:rsidR="0087455F">
        <w:rPr>
          <w:szCs w:val="20"/>
        </w:rPr>
        <w:t xml:space="preserve"> </w:t>
      </w:r>
      <w:r w:rsidR="009A2714">
        <w:rPr>
          <w:szCs w:val="20"/>
        </w:rPr>
        <w:t xml:space="preserve">y </w:t>
      </w:r>
      <w:r w:rsidR="0087455F">
        <w:rPr>
          <w:szCs w:val="20"/>
        </w:rPr>
        <w:t>las desviaciones del presupuesto con respecto al concedido inicialmente</w:t>
      </w:r>
      <w:r w:rsidR="00BA75B4">
        <w:rPr>
          <w:szCs w:val="20"/>
        </w:rPr>
        <w:t>, firmada por ambos Investigadores Principales</w:t>
      </w:r>
      <w:r w:rsidRPr="00F12259">
        <w:rPr>
          <w:szCs w:val="20"/>
        </w:rPr>
        <w:t xml:space="preserve">. </w:t>
      </w:r>
    </w:p>
    <w:p w14:paraId="38ADFD02" w14:textId="77777777" w:rsidR="005D5254" w:rsidRPr="00F12259" w:rsidRDefault="005D5254" w:rsidP="005D5254">
      <w:pPr>
        <w:spacing w:after="0"/>
        <w:jc w:val="both"/>
        <w:rPr>
          <w:szCs w:val="20"/>
        </w:rPr>
      </w:pPr>
    </w:p>
    <w:p w14:paraId="666793A4" w14:textId="61368DE6" w:rsidR="00354368" w:rsidRDefault="005D5254" w:rsidP="00EE2FD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Las ayudas se justificarán ante </w:t>
      </w:r>
      <w:r w:rsidR="000F5C30">
        <w:t xml:space="preserve">ambas </w:t>
      </w:r>
      <w:r>
        <w:t xml:space="preserve">entidades, UV y IIS La Fe, mediante </w:t>
      </w:r>
      <w:r w:rsidR="00A066ED">
        <w:t xml:space="preserve">el envío de la memoria por correo electrónico </w:t>
      </w:r>
      <w:r w:rsidR="00301540">
        <w:t xml:space="preserve">a </w:t>
      </w:r>
      <w:r w:rsidR="00A066ED">
        <w:t xml:space="preserve">las siguientes direcciones: </w:t>
      </w:r>
      <w:hyperlink r:id="rId21" w:history="1">
        <w:r w:rsidR="00A066ED" w:rsidRPr="71218D97">
          <w:rPr>
            <w:rStyle w:val="Hipervnculo"/>
          </w:rPr>
          <w:t>innovacion@iislafe.es</w:t>
        </w:r>
      </w:hyperlink>
      <w:r w:rsidR="00A066ED">
        <w:t xml:space="preserve"> </w:t>
      </w:r>
      <w:r w:rsidR="00477A23">
        <w:t>y</w:t>
      </w:r>
      <w:r w:rsidR="00A066ED">
        <w:t xml:space="preserve"> </w:t>
      </w:r>
      <w:hyperlink r:id="rId22" w:history="1">
        <w:r w:rsidR="000F5C30" w:rsidRPr="00C919A8">
          <w:rPr>
            <w:rStyle w:val="Hipervnculo"/>
          </w:rPr>
          <w:t>vlc-biomed@uv.es</w:t>
        </w:r>
      </w:hyperlink>
      <w:r w:rsidR="000023D5">
        <w:t xml:space="preserve"> </w:t>
      </w:r>
    </w:p>
    <w:p w14:paraId="6A89B128" w14:textId="77777777" w:rsidR="00A066ED" w:rsidRDefault="00A066ED" w:rsidP="00EE2F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436D423E" w14:textId="1506256E" w:rsidR="0071394D" w:rsidRDefault="000B3826" w:rsidP="00B66778">
      <w:pPr>
        <w:autoSpaceDE w:val="0"/>
        <w:autoSpaceDN w:val="0"/>
        <w:adjustRightInd w:val="0"/>
        <w:spacing w:before="60" w:after="0" w:line="240" w:lineRule="auto"/>
        <w:jc w:val="both"/>
        <w:rPr>
          <w:b/>
          <w:u w:val="single"/>
        </w:rPr>
      </w:pPr>
      <w:r>
        <w:rPr>
          <w:b/>
          <w:u w:val="single"/>
        </w:rPr>
        <w:t>7</w:t>
      </w:r>
      <w:r w:rsidR="00D717ED">
        <w:rPr>
          <w:b/>
          <w:u w:val="single"/>
        </w:rPr>
        <w:t>.</w:t>
      </w:r>
      <w:r w:rsidR="00666951">
        <w:rPr>
          <w:b/>
          <w:u w:val="single"/>
        </w:rPr>
        <w:t>- Incumplimiento</w:t>
      </w:r>
    </w:p>
    <w:p w14:paraId="63EE2E26" w14:textId="77777777" w:rsidR="0071394D" w:rsidRDefault="0071394D" w:rsidP="00684319">
      <w:pPr>
        <w:spacing w:after="0"/>
        <w:jc w:val="both"/>
      </w:pPr>
    </w:p>
    <w:p w14:paraId="6DC84DF5" w14:textId="10853B14" w:rsidR="0071394D" w:rsidRDefault="0071394D" w:rsidP="00AD58FD">
      <w:pPr>
        <w:spacing w:after="0"/>
        <w:jc w:val="both"/>
      </w:pPr>
      <w:r w:rsidRPr="0071394D">
        <w:rPr>
          <w:rFonts w:ascii="Calibri" w:eastAsia="Times New Roman" w:hAnsi="Calibri" w:cs="Times New Roman"/>
          <w:color w:val="000000"/>
          <w:lang w:eastAsia="es-ES"/>
        </w:rPr>
        <w:t>El incumplimiento de alguna d</w:t>
      </w:r>
      <w:r w:rsidR="008332A9">
        <w:rPr>
          <w:rFonts w:ascii="Calibri" w:eastAsia="Times New Roman" w:hAnsi="Calibri" w:cs="Times New Roman"/>
          <w:color w:val="000000"/>
          <w:lang w:eastAsia="es-ES"/>
        </w:rPr>
        <w:t xml:space="preserve">e las normas establecidas en las Bases de la Convocatoria, en la </w:t>
      </w:r>
      <w:r w:rsidRPr="0071394D">
        <w:rPr>
          <w:rFonts w:ascii="Calibri" w:eastAsia="Times New Roman" w:hAnsi="Calibri" w:cs="Times New Roman"/>
          <w:color w:val="000000"/>
          <w:lang w:eastAsia="es-ES"/>
        </w:rPr>
        <w:t>Resolución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Definitiva de la presente Ayuda o en lo estipulado en el presente documento de aceptación</w:t>
      </w:r>
      <w:r w:rsidRPr="0071394D">
        <w:rPr>
          <w:rFonts w:ascii="Calibri" w:eastAsia="Times New Roman" w:hAnsi="Calibri" w:cs="Times New Roman"/>
          <w:color w:val="000000"/>
          <w:lang w:eastAsia="es-ES"/>
        </w:rPr>
        <w:t>, otorgará potestad a la Comisión Mixta de Evaluación para revocar la concesión de la correspondiente ayuda, con obligación de reintegro, por parte de los Investigadores Principales, del importe habilitado</w:t>
      </w:r>
      <w:r>
        <w:rPr>
          <w:rFonts w:ascii="Calibri" w:eastAsia="Times New Roman" w:hAnsi="Calibri" w:cs="Times New Roman"/>
          <w:color w:val="000000"/>
          <w:lang w:eastAsia="es-ES"/>
        </w:rPr>
        <w:t>.</w:t>
      </w:r>
    </w:p>
    <w:p w14:paraId="0B260745" w14:textId="77777777" w:rsidR="00406B3A" w:rsidRDefault="00406B3A" w:rsidP="00684319">
      <w:pPr>
        <w:spacing w:after="0"/>
        <w:jc w:val="center"/>
      </w:pPr>
    </w:p>
    <w:p w14:paraId="27C5E2B0" w14:textId="7E48EE2B" w:rsidR="00A35645" w:rsidRDefault="000B3826" w:rsidP="00A35645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8</w:t>
      </w:r>
      <w:r w:rsidR="00666951">
        <w:rPr>
          <w:b/>
          <w:u w:val="single"/>
        </w:rPr>
        <w:t>.- Plazo</w:t>
      </w:r>
    </w:p>
    <w:p w14:paraId="0CE18F0D" w14:textId="51A70F2D" w:rsidR="00A35645" w:rsidRPr="00A35645" w:rsidRDefault="00A35645" w:rsidP="0034236F">
      <w:pPr>
        <w:spacing w:before="120" w:after="0"/>
        <w:jc w:val="both"/>
      </w:pPr>
      <w:r w:rsidRPr="00A35645">
        <w:t>Los Investigadores Principales vendrán obligados a presentar el presente Documento de Aceptación de Ayudas en el plazo de 10 días hábiles desde la recepción del mismo</w:t>
      </w:r>
      <w:r w:rsidR="00DB78B4">
        <w:t xml:space="preserve">. El presente Documento podrá ser presentado, en formato digital vía e-mail, </w:t>
      </w:r>
      <w:r w:rsidR="00912469">
        <w:t xml:space="preserve">a cualquiera de las siguientes direcciones: </w:t>
      </w:r>
      <w:hyperlink r:id="rId23" w:history="1">
        <w:r w:rsidR="00912469" w:rsidRPr="71218D97">
          <w:rPr>
            <w:rStyle w:val="Hipervnculo"/>
          </w:rPr>
          <w:t>innovacion@iislafe.es</w:t>
        </w:r>
      </w:hyperlink>
      <w:r w:rsidR="00912469">
        <w:rPr>
          <w:rStyle w:val="Hipervnculo"/>
        </w:rPr>
        <w:t xml:space="preserve"> </w:t>
      </w:r>
      <w:r w:rsidR="00912469">
        <w:t xml:space="preserve"> o </w:t>
      </w:r>
      <w:hyperlink r:id="rId24" w:history="1">
        <w:r w:rsidR="000023D5" w:rsidRPr="00D37B0A">
          <w:rPr>
            <w:rStyle w:val="Hipervnculo"/>
          </w:rPr>
          <w:t>vlc-biomed@uv.es</w:t>
        </w:r>
      </w:hyperlink>
      <w:r w:rsidR="00C43DA5" w:rsidRPr="00C43DA5">
        <w:rPr>
          <w:rStyle w:val="Hipervnculo"/>
          <w:u w:val="none"/>
        </w:rPr>
        <w:t xml:space="preserve"> </w:t>
      </w:r>
      <w:r w:rsidR="00DB78B4">
        <w:t>incluyendo</w:t>
      </w:r>
      <w:r w:rsidR="00C43DA5">
        <w:t>, preferiblemente,</w:t>
      </w:r>
      <w:r w:rsidR="00DB78B4">
        <w:t xml:space="preserve"> las </w:t>
      </w:r>
      <w:r w:rsidR="009A2714">
        <w:t xml:space="preserve">firmas electrónicas </w:t>
      </w:r>
      <w:r w:rsidR="00DB78B4">
        <w:t>de los Investigadores Principales</w:t>
      </w:r>
      <w:r w:rsidR="00C43DA5">
        <w:t>, o</w:t>
      </w:r>
      <w:r w:rsidR="00477A23">
        <w:t xml:space="preserve"> </w:t>
      </w:r>
      <w:r w:rsidR="00115945">
        <w:t>las firmas originales escaneadas con el compromiso</w:t>
      </w:r>
      <w:r w:rsidR="00477A23">
        <w:t>, en este caso,</w:t>
      </w:r>
      <w:r w:rsidR="00115945">
        <w:t xml:space="preserve"> del depósito del original</w:t>
      </w:r>
      <w:r w:rsidR="00301540">
        <w:t xml:space="preserve"> por Regist</w:t>
      </w:r>
      <w:r w:rsidR="00115945">
        <w:t>ro de Entrada de alguna de las dos entidades y dirigido al Servicio de Transferencia e Innovación de la UV o bien al Área de Innovación del IIS La Fe</w:t>
      </w:r>
      <w:r w:rsidR="00DB78B4">
        <w:t>.</w:t>
      </w:r>
    </w:p>
    <w:p w14:paraId="19BF850C" w14:textId="77777777" w:rsidR="00165D37" w:rsidRDefault="00165D37" w:rsidP="00AF1D70">
      <w:pPr>
        <w:spacing w:after="0"/>
        <w:jc w:val="both"/>
      </w:pPr>
    </w:p>
    <w:p w14:paraId="1FF19797" w14:textId="5CD7AF84" w:rsidR="00406B3A" w:rsidRDefault="00406B3A" w:rsidP="00AF1D70">
      <w:pPr>
        <w:spacing w:after="0"/>
        <w:jc w:val="both"/>
      </w:pPr>
      <w:r>
        <w:t>Sirva el presente documento como comunicación de que</w:t>
      </w:r>
      <w:r w:rsidR="00FA1411">
        <w:t>,</w:t>
      </w:r>
      <w:r>
        <w:t xml:space="preserve"> como Investigadores Principales</w:t>
      </w:r>
      <w:r w:rsidR="00FA1411">
        <w:t>,</w:t>
      </w:r>
      <w:r>
        <w:t xml:space="preserve"> somos conocedores de la necesidad de cumplimiento de </w:t>
      </w:r>
      <w:r w:rsidR="00301540">
        <w:t xml:space="preserve">los </w:t>
      </w:r>
      <w:r>
        <w:t>citados requisitos</w:t>
      </w:r>
      <w:r w:rsidR="00301540">
        <w:t xml:space="preserve"> para</w:t>
      </w:r>
      <w:r>
        <w:t xml:space="preserve"> la ejecución de</w:t>
      </w:r>
      <w:r w:rsidR="00301540">
        <w:t>l</w:t>
      </w:r>
      <w:r>
        <w:t xml:space="preserve"> </w:t>
      </w:r>
      <w:r w:rsidRPr="00D36C37">
        <w:rPr>
          <w:highlight w:val="yellow"/>
        </w:rPr>
        <w:t>Proyecto</w:t>
      </w:r>
      <w:r w:rsidR="00301540" w:rsidRPr="00D36C37">
        <w:rPr>
          <w:highlight w:val="yellow"/>
        </w:rPr>
        <w:t xml:space="preserve"> de Innovación/Acción Preparatoria</w:t>
      </w:r>
      <w:r>
        <w:t>, y con la firma del mismo, ACEPTAMOS los términos aquí expuestos,</w:t>
      </w:r>
    </w:p>
    <w:p w14:paraId="1C0C73F2" w14:textId="77777777" w:rsidR="00406B3A" w:rsidRDefault="00406B3A" w:rsidP="00684319">
      <w:pPr>
        <w:spacing w:after="0"/>
        <w:jc w:val="center"/>
      </w:pPr>
    </w:p>
    <w:p w14:paraId="2E1E435B" w14:textId="3D7DBEC6" w:rsidR="004F292C" w:rsidRDefault="004F292C" w:rsidP="00271EE4">
      <w:pPr>
        <w:spacing w:after="0"/>
      </w:pPr>
      <w:r>
        <w:t>Un saludo,</w:t>
      </w:r>
    </w:p>
    <w:p w14:paraId="443C65EE" w14:textId="77777777" w:rsidR="00271EE4" w:rsidRDefault="00271EE4" w:rsidP="00271EE4">
      <w:pPr>
        <w:spacing w:after="0"/>
      </w:pPr>
    </w:p>
    <w:p w14:paraId="5C1F239E" w14:textId="77777777" w:rsidR="00271EE4" w:rsidRDefault="00271EE4" w:rsidP="00271EE4">
      <w:pPr>
        <w:spacing w:after="0"/>
      </w:pPr>
    </w:p>
    <w:p w14:paraId="5A0AC968" w14:textId="77777777" w:rsidR="004F292C" w:rsidRDefault="004F292C" w:rsidP="00684319">
      <w:pPr>
        <w:spacing w:after="0"/>
        <w:jc w:val="both"/>
      </w:pPr>
    </w:p>
    <w:p w14:paraId="6ADD8254" w14:textId="77777777" w:rsidR="00684319" w:rsidRDefault="00684319" w:rsidP="00684319">
      <w:pPr>
        <w:spacing w:after="0"/>
        <w:jc w:val="both"/>
      </w:pPr>
    </w:p>
    <w:p w14:paraId="2EC532C8" w14:textId="77777777" w:rsidR="00684319" w:rsidRDefault="00684319" w:rsidP="00684319">
      <w:pPr>
        <w:spacing w:after="0"/>
        <w:jc w:val="both"/>
      </w:pPr>
    </w:p>
    <w:p w14:paraId="5E39EFAE" w14:textId="77777777" w:rsidR="004F292C" w:rsidRDefault="004F292C" w:rsidP="00684319">
      <w:pPr>
        <w:spacing w:after="0"/>
        <w:jc w:val="both"/>
      </w:pPr>
    </w:p>
    <w:p w14:paraId="6FACDBEC" w14:textId="5B8B9111" w:rsidR="004F292C" w:rsidRPr="00271EE4" w:rsidRDefault="00271EE4" w:rsidP="00684319">
      <w:pPr>
        <w:spacing w:after="0"/>
        <w:jc w:val="both"/>
      </w:pPr>
      <w:r>
        <w:t xml:space="preserve">           Fdo.</w:t>
      </w:r>
      <w:r w:rsidR="00D32D51">
        <w:t xml:space="preserve">: </w:t>
      </w:r>
      <w:r w:rsidR="001D1EFA">
        <w:t xml:space="preserve">Nombre y Apellidos </w:t>
      </w:r>
      <w:r w:rsidR="001D1EFA">
        <w:tab/>
      </w:r>
      <w:r w:rsidR="00D32D51" w:rsidRPr="00271EE4">
        <w:t xml:space="preserve">     </w:t>
      </w:r>
      <w:r w:rsidR="00D32D51" w:rsidRPr="00466F47">
        <w:rPr>
          <w:color w:val="FF0000"/>
        </w:rPr>
        <w:t xml:space="preserve">                       </w:t>
      </w:r>
      <w:r w:rsidR="00EC261D">
        <w:tab/>
        <w:t xml:space="preserve">     </w:t>
      </w:r>
      <w:r>
        <w:t xml:space="preserve">    Fdo.:</w:t>
      </w:r>
      <w:r w:rsidR="00D32D51">
        <w:t xml:space="preserve"> </w:t>
      </w:r>
      <w:r w:rsidR="001D1EFA">
        <w:t>Nombre y Apellidos</w:t>
      </w:r>
    </w:p>
    <w:p w14:paraId="557DD449" w14:textId="4C9B576E" w:rsidR="00D32D51" w:rsidRDefault="00D32D51" w:rsidP="00684319">
      <w:pPr>
        <w:spacing w:after="0"/>
      </w:pPr>
      <w:r>
        <w:t xml:space="preserve">           Investigador Principal              </w:t>
      </w:r>
      <w:r w:rsidR="00271EE4">
        <w:t xml:space="preserve">                                           </w:t>
      </w:r>
      <w:r w:rsidR="00466F47">
        <w:t xml:space="preserve">  </w:t>
      </w:r>
      <w:r>
        <w:t>Investigador Principal</w:t>
      </w:r>
    </w:p>
    <w:p w14:paraId="5745CF8E" w14:textId="5CB07E5E" w:rsidR="004F292C" w:rsidRPr="00F3508B" w:rsidRDefault="00D32D51" w:rsidP="00684319">
      <w:pPr>
        <w:spacing w:after="0"/>
      </w:pPr>
      <w:r>
        <w:t xml:space="preserve">            </w:t>
      </w:r>
      <w:r w:rsidR="00271EE4">
        <w:t xml:space="preserve">UV                                                                                       </w:t>
      </w:r>
      <w:r w:rsidR="000023D5">
        <w:t xml:space="preserve">  </w:t>
      </w:r>
      <w:r w:rsidR="00271EE4">
        <w:t xml:space="preserve"> </w:t>
      </w:r>
      <w:r>
        <w:t xml:space="preserve"> </w:t>
      </w:r>
      <w:r w:rsidR="00DB78B4">
        <w:t>IIS/</w:t>
      </w:r>
      <w:r>
        <w:t>Hospital La</w:t>
      </w:r>
      <w:r w:rsidR="736472DB">
        <w:t xml:space="preserve"> </w:t>
      </w:r>
      <w:r>
        <w:t xml:space="preserve">Fe                                                                      </w:t>
      </w:r>
      <w:r w:rsidR="00466F47">
        <w:t xml:space="preserve">    </w:t>
      </w:r>
      <w:r>
        <w:t xml:space="preserve"> </w:t>
      </w:r>
    </w:p>
    <w:sectPr w:rsidR="004F292C" w:rsidRPr="00F3508B" w:rsidSect="0034236F">
      <w:headerReference w:type="default" r:id="rId25"/>
      <w:footerReference w:type="default" r:id="rId26"/>
      <w:pgSz w:w="11906" w:h="16838"/>
      <w:pgMar w:top="1028" w:right="991" w:bottom="709" w:left="1418" w:header="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27D31" w14:textId="77777777" w:rsidR="00134256" w:rsidRDefault="00134256" w:rsidP="00D32D51">
      <w:pPr>
        <w:spacing w:after="0" w:line="240" w:lineRule="auto"/>
      </w:pPr>
      <w:r>
        <w:separator/>
      </w:r>
    </w:p>
  </w:endnote>
  <w:endnote w:type="continuationSeparator" w:id="0">
    <w:p w14:paraId="0ADDBBAB" w14:textId="77777777" w:rsidR="00134256" w:rsidRDefault="00134256" w:rsidP="00D32D51">
      <w:pPr>
        <w:spacing w:after="0" w:line="240" w:lineRule="auto"/>
      </w:pPr>
      <w:r>
        <w:continuationSeparator/>
      </w:r>
    </w:p>
  </w:endnote>
  <w:endnote w:type="continuationNotice" w:id="1">
    <w:p w14:paraId="6777A58A" w14:textId="77777777" w:rsidR="00134256" w:rsidRDefault="00134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18414"/>
      <w:docPartObj>
        <w:docPartGallery w:val="Page Numbers (Bottom of Page)"/>
        <w:docPartUnique/>
      </w:docPartObj>
    </w:sdtPr>
    <w:sdtEndPr/>
    <w:sdtContent>
      <w:sdt>
        <w:sdtPr>
          <w:id w:val="451903949"/>
          <w:docPartObj>
            <w:docPartGallery w:val="Page Numbers (Top of Page)"/>
            <w:docPartUnique/>
          </w:docPartObj>
        </w:sdtPr>
        <w:sdtEndPr/>
        <w:sdtContent>
          <w:p w14:paraId="4C6CAF37" w14:textId="5877D2A3" w:rsidR="00406B3A" w:rsidRDefault="00406B3A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4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4A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36A235" w14:textId="77777777" w:rsidR="00406B3A" w:rsidRDefault="00406B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12162" w14:textId="77777777" w:rsidR="00134256" w:rsidRDefault="00134256" w:rsidP="00D32D51">
      <w:pPr>
        <w:spacing w:after="0" w:line="240" w:lineRule="auto"/>
      </w:pPr>
      <w:r>
        <w:separator/>
      </w:r>
    </w:p>
  </w:footnote>
  <w:footnote w:type="continuationSeparator" w:id="0">
    <w:p w14:paraId="2F288991" w14:textId="77777777" w:rsidR="00134256" w:rsidRDefault="00134256" w:rsidP="00D32D51">
      <w:pPr>
        <w:spacing w:after="0" w:line="240" w:lineRule="auto"/>
      </w:pPr>
      <w:r>
        <w:continuationSeparator/>
      </w:r>
    </w:p>
  </w:footnote>
  <w:footnote w:type="continuationNotice" w:id="1">
    <w:p w14:paraId="42DA978C" w14:textId="77777777" w:rsidR="00134256" w:rsidRDefault="00134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C92B0" w14:textId="77777777" w:rsidR="00D5781D" w:rsidRDefault="05C131ED" w:rsidP="00D32D51">
    <w:pPr>
      <w:pStyle w:val="Encabezado"/>
    </w:pPr>
    <w:r>
      <w:t xml:space="preserve">                                              </w:t>
    </w:r>
  </w:p>
  <w:tbl>
    <w:tblPr>
      <w:tblStyle w:val="Tablaconcuadrcula"/>
      <w:tblW w:w="85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1"/>
      <w:gridCol w:w="4401"/>
    </w:tblGrid>
    <w:tr w:rsidR="00D5781D" w:rsidRPr="00B638B0" w14:paraId="5E17D925" w14:textId="77777777" w:rsidTr="7FF97FD9">
      <w:trPr>
        <w:trHeight w:val="964"/>
        <w:jc w:val="center"/>
      </w:trPr>
      <w:tc>
        <w:tcPr>
          <w:tcW w:w="4191" w:type="dxa"/>
          <w:vAlign w:val="center"/>
        </w:tcPr>
        <w:p w14:paraId="730447F8" w14:textId="77777777" w:rsidR="00D5781D" w:rsidRPr="00B638B0" w:rsidRDefault="00D5781D" w:rsidP="00D5781D">
          <w:pPr>
            <w:tabs>
              <w:tab w:val="center" w:pos="4252"/>
              <w:tab w:val="right" w:pos="8504"/>
            </w:tabs>
            <w:rPr>
              <w:rFonts w:ascii="Calibri" w:eastAsia="Times New Roman" w:hAnsi="Calibri" w:cs="Times New Roman"/>
              <w:lang w:val="ca-ES" w:eastAsia="es-ES"/>
            </w:rPr>
          </w:pPr>
          <w:r w:rsidRPr="00B638B0">
            <w:rPr>
              <w:rFonts w:ascii="Calibri" w:eastAsia="Times New Roman" w:hAnsi="Calibri" w:cs="Times New Roman"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F4E1B66" wp14:editId="227E0E12">
                <wp:simplePos x="0" y="0"/>
                <wp:positionH relativeFrom="margin">
                  <wp:posOffset>-274955</wp:posOffset>
                </wp:positionH>
                <wp:positionV relativeFrom="paragraph">
                  <wp:posOffset>40640</wp:posOffset>
                </wp:positionV>
                <wp:extent cx="2210435" cy="601345"/>
                <wp:effectExtent l="0" t="0" r="0" b="8255"/>
                <wp:wrapNone/>
                <wp:docPr id="79" name="Imagen 79" descr="logo uni sin xano con escudo 2 line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uni sin xano con escudo 2 line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0435" cy="601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01" w:type="dxa"/>
          <w:vAlign w:val="center"/>
        </w:tcPr>
        <w:p w14:paraId="0649F3BA" w14:textId="77777777" w:rsidR="00D5781D" w:rsidRPr="00B638B0" w:rsidRDefault="7FF97FD9" w:rsidP="00D5781D">
          <w:pPr>
            <w:tabs>
              <w:tab w:val="center" w:pos="4252"/>
              <w:tab w:val="right" w:pos="8504"/>
            </w:tabs>
            <w:jc w:val="center"/>
            <w:rPr>
              <w:rFonts w:ascii="Calibri" w:eastAsia="Times New Roman" w:hAnsi="Calibri" w:cs="Times New Roman"/>
              <w:lang w:val="ca-ES" w:eastAsia="es-ES"/>
            </w:rPr>
          </w:pPr>
          <w:r w:rsidRPr="7FF97FD9">
            <w:rPr>
              <w:rFonts w:ascii="Calibri" w:eastAsia="Times New Roman" w:hAnsi="Calibri" w:cs="Times New Roman"/>
              <w:lang w:val="ca-ES" w:eastAsia="es-ES"/>
            </w:rPr>
            <w:t xml:space="preserve">                    </w:t>
          </w:r>
          <w:r>
            <w:rPr>
              <w:noProof/>
              <w:lang w:eastAsia="es-ES"/>
            </w:rPr>
            <w:drawing>
              <wp:inline distT="0" distB="0" distL="0" distR="0" wp14:anchorId="58EE7F4F" wp14:editId="5EEB53A6">
                <wp:extent cx="800847" cy="671065"/>
                <wp:effectExtent l="0" t="0" r="0" b="0"/>
                <wp:docPr id="1" name="Imagen 1" descr="\\fundacionserver\RedirectedFolders\Silvia\My Documents\LA FE-BAS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847" cy="671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7FF97FD9">
            <w:rPr>
              <w:rFonts w:ascii="Calibri" w:eastAsia="Times New Roman" w:hAnsi="Calibri" w:cs="Times New Roman"/>
              <w:lang w:val="ca-ES" w:eastAsia="es-ES"/>
            </w:rPr>
            <w:t xml:space="preserve">  </w:t>
          </w:r>
          <w:r>
            <w:rPr>
              <w:noProof/>
              <w:lang w:eastAsia="es-ES"/>
            </w:rPr>
            <w:drawing>
              <wp:inline distT="0" distB="0" distL="0" distR="0" wp14:anchorId="49B91334" wp14:editId="091A7354">
                <wp:extent cx="1048385" cy="713105"/>
                <wp:effectExtent l="0" t="0" r="0" b="0"/>
                <wp:docPr id="81" name="Imagen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385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5781D" w:rsidRPr="00B638B0" w14:paraId="1230A59C" w14:textId="77777777" w:rsidTr="7FF97FD9">
      <w:trPr>
        <w:trHeight w:val="454"/>
        <w:jc w:val="center"/>
      </w:trPr>
      <w:tc>
        <w:tcPr>
          <w:tcW w:w="8592" w:type="dxa"/>
          <w:gridSpan w:val="2"/>
          <w:vAlign w:val="center"/>
        </w:tcPr>
        <w:p w14:paraId="53F25195" w14:textId="77777777" w:rsidR="00D5781D" w:rsidRPr="00B638B0" w:rsidRDefault="7FF97FD9" w:rsidP="00D5781D">
          <w:pPr>
            <w:tabs>
              <w:tab w:val="center" w:pos="4252"/>
              <w:tab w:val="right" w:pos="8504"/>
            </w:tabs>
            <w:jc w:val="center"/>
            <w:rPr>
              <w:rFonts w:ascii="Calibri" w:eastAsia="Times New Roman" w:hAnsi="Calibri" w:cs="Times New Roman"/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35122E33" wp14:editId="7B456BCA">
                <wp:extent cx="829310" cy="359410"/>
                <wp:effectExtent l="0" t="0" r="8890" b="2540"/>
                <wp:docPr id="82" name="Imagen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2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31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961AC8" w14:textId="115AFC1D" w:rsidR="00D32D51" w:rsidRDefault="05C131ED">
    <w:pPr>
      <w:pStyle w:val="Encabezado"/>
    </w:pPr>
    <w: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011B"/>
    <w:multiLevelType w:val="hybridMultilevel"/>
    <w:tmpl w:val="1C622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0F8B"/>
    <w:multiLevelType w:val="hybridMultilevel"/>
    <w:tmpl w:val="FF5E75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0854"/>
    <w:multiLevelType w:val="hybridMultilevel"/>
    <w:tmpl w:val="54245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19CE"/>
    <w:multiLevelType w:val="hybridMultilevel"/>
    <w:tmpl w:val="3236C3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547D"/>
    <w:multiLevelType w:val="hybridMultilevel"/>
    <w:tmpl w:val="FB1AD4EE"/>
    <w:lvl w:ilvl="0" w:tplc="DD2095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266E"/>
    <w:multiLevelType w:val="hybridMultilevel"/>
    <w:tmpl w:val="E112F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3002B"/>
    <w:multiLevelType w:val="hybridMultilevel"/>
    <w:tmpl w:val="23165A64"/>
    <w:lvl w:ilvl="0" w:tplc="A3406A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13B5D"/>
    <w:multiLevelType w:val="hybridMultilevel"/>
    <w:tmpl w:val="1C84350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FE2D7A"/>
    <w:multiLevelType w:val="hybridMultilevel"/>
    <w:tmpl w:val="CF628864"/>
    <w:lvl w:ilvl="0" w:tplc="A3406A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43B7"/>
    <w:multiLevelType w:val="hybridMultilevel"/>
    <w:tmpl w:val="6DBA1B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7829"/>
    <w:multiLevelType w:val="hybridMultilevel"/>
    <w:tmpl w:val="F4A05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3F5D"/>
    <w:multiLevelType w:val="hybridMultilevel"/>
    <w:tmpl w:val="0AB66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82BF1"/>
    <w:multiLevelType w:val="hybridMultilevel"/>
    <w:tmpl w:val="08064E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E4824"/>
    <w:multiLevelType w:val="hybridMultilevel"/>
    <w:tmpl w:val="EC9A6854"/>
    <w:lvl w:ilvl="0" w:tplc="631A72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D3B62"/>
    <w:multiLevelType w:val="hybridMultilevel"/>
    <w:tmpl w:val="783049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7204"/>
    <w:multiLevelType w:val="hybridMultilevel"/>
    <w:tmpl w:val="21AC3A96"/>
    <w:lvl w:ilvl="0" w:tplc="38243E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A33F5"/>
    <w:multiLevelType w:val="hybridMultilevel"/>
    <w:tmpl w:val="CD26DB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A16F7"/>
    <w:multiLevelType w:val="hybridMultilevel"/>
    <w:tmpl w:val="7B2479D8"/>
    <w:lvl w:ilvl="0" w:tplc="AD2889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A2CA0"/>
    <w:multiLevelType w:val="hybridMultilevel"/>
    <w:tmpl w:val="78C216EA"/>
    <w:lvl w:ilvl="0" w:tplc="38243E5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76E250A"/>
    <w:multiLevelType w:val="hybridMultilevel"/>
    <w:tmpl w:val="221C164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B16B9F"/>
    <w:multiLevelType w:val="hybridMultilevel"/>
    <w:tmpl w:val="1A28BCB6"/>
    <w:lvl w:ilvl="0" w:tplc="A3406A74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EF91375"/>
    <w:multiLevelType w:val="hybridMultilevel"/>
    <w:tmpl w:val="B7EC478E"/>
    <w:lvl w:ilvl="0" w:tplc="4E18558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0"/>
  </w:num>
  <w:num w:numId="5">
    <w:abstractNumId w:val="18"/>
  </w:num>
  <w:num w:numId="6">
    <w:abstractNumId w:val="10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4"/>
  </w:num>
  <w:num w:numId="14">
    <w:abstractNumId w:val="3"/>
  </w:num>
  <w:num w:numId="15">
    <w:abstractNumId w:val="21"/>
  </w:num>
  <w:num w:numId="16">
    <w:abstractNumId w:val="1"/>
  </w:num>
  <w:num w:numId="17">
    <w:abstractNumId w:val="6"/>
  </w:num>
  <w:num w:numId="18">
    <w:abstractNumId w:val="8"/>
  </w:num>
  <w:num w:numId="19">
    <w:abstractNumId w:val="20"/>
  </w:num>
  <w:num w:numId="20">
    <w:abstractNumId w:val="16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8B"/>
    <w:rsid w:val="00000A8A"/>
    <w:rsid w:val="000023D5"/>
    <w:rsid w:val="000059AD"/>
    <w:rsid w:val="00032780"/>
    <w:rsid w:val="00037E6E"/>
    <w:rsid w:val="0004374E"/>
    <w:rsid w:val="00064CDC"/>
    <w:rsid w:val="00071B51"/>
    <w:rsid w:val="000746C9"/>
    <w:rsid w:val="000846AE"/>
    <w:rsid w:val="00085B46"/>
    <w:rsid w:val="00094BA6"/>
    <w:rsid w:val="000B3826"/>
    <w:rsid w:val="000B40BA"/>
    <w:rsid w:val="000C28AA"/>
    <w:rsid w:val="000C75B2"/>
    <w:rsid w:val="000D3141"/>
    <w:rsid w:val="000D4A24"/>
    <w:rsid w:val="000F1B21"/>
    <w:rsid w:val="000F3BF0"/>
    <w:rsid w:val="000F5C30"/>
    <w:rsid w:val="0011064E"/>
    <w:rsid w:val="00115945"/>
    <w:rsid w:val="001328B7"/>
    <w:rsid w:val="00134256"/>
    <w:rsid w:val="00145C9D"/>
    <w:rsid w:val="0015148C"/>
    <w:rsid w:val="001516D1"/>
    <w:rsid w:val="00165D37"/>
    <w:rsid w:val="001930DA"/>
    <w:rsid w:val="001A4AA0"/>
    <w:rsid w:val="001B609F"/>
    <w:rsid w:val="001C3049"/>
    <w:rsid w:val="001D1EFA"/>
    <w:rsid w:val="0021112F"/>
    <w:rsid w:val="00212532"/>
    <w:rsid w:val="002126BE"/>
    <w:rsid w:val="00221985"/>
    <w:rsid w:val="00221D73"/>
    <w:rsid w:val="00223B22"/>
    <w:rsid w:val="002257B9"/>
    <w:rsid w:val="00236EBA"/>
    <w:rsid w:val="00256615"/>
    <w:rsid w:val="00271EE4"/>
    <w:rsid w:val="00271FD2"/>
    <w:rsid w:val="00286137"/>
    <w:rsid w:val="002A6A65"/>
    <w:rsid w:val="002B3B33"/>
    <w:rsid w:val="002B4A09"/>
    <w:rsid w:val="002F2540"/>
    <w:rsid w:val="002F2D5F"/>
    <w:rsid w:val="00301540"/>
    <w:rsid w:val="00301876"/>
    <w:rsid w:val="003245B2"/>
    <w:rsid w:val="0033519B"/>
    <w:rsid w:val="003364D3"/>
    <w:rsid w:val="0034037B"/>
    <w:rsid w:val="0034236F"/>
    <w:rsid w:val="00342F6F"/>
    <w:rsid w:val="00354368"/>
    <w:rsid w:val="00354D78"/>
    <w:rsid w:val="00356915"/>
    <w:rsid w:val="003720EF"/>
    <w:rsid w:val="003A7C97"/>
    <w:rsid w:val="003B76DA"/>
    <w:rsid w:val="003B7F27"/>
    <w:rsid w:val="003F1FA5"/>
    <w:rsid w:val="00406B3A"/>
    <w:rsid w:val="00415B55"/>
    <w:rsid w:val="00431551"/>
    <w:rsid w:val="00437FF8"/>
    <w:rsid w:val="0044496E"/>
    <w:rsid w:val="00453D2D"/>
    <w:rsid w:val="004560AF"/>
    <w:rsid w:val="00466F47"/>
    <w:rsid w:val="00472C22"/>
    <w:rsid w:val="00477A23"/>
    <w:rsid w:val="00487A75"/>
    <w:rsid w:val="00487C2F"/>
    <w:rsid w:val="004A5174"/>
    <w:rsid w:val="004A6233"/>
    <w:rsid w:val="004A7A58"/>
    <w:rsid w:val="004C4D82"/>
    <w:rsid w:val="004D4704"/>
    <w:rsid w:val="004E1C7E"/>
    <w:rsid w:val="004F0603"/>
    <w:rsid w:val="004F292C"/>
    <w:rsid w:val="00513E9E"/>
    <w:rsid w:val="00545ACD"/>
    <w:rsid w:val="0056515B"/>
    <w:rsid w:val="005667BC"/>
    <w:rsid w:val="00570693"/>
    <w:rsid w:val="005734E6"/>
    <w:rsid w:val="005D5254"/>
    <w:rsid w:val="005D58D0"/>
    <w:rsid w:val="005E367C"/>
    <w:rsid w:val="00605FFB"/>
    <w:rsid w:val="00606717"/>
    <w:rsid w:val="00611520"/>
    <w:rsid w:val="00621FA2"/>
    <w:rsid w:val="00636011"/>
    <w:rsid w:val="00641236"/>
    <w:rsid w:val="00666951"/>
    <w:rsid w:val="00671BB0"/>
    <w:rsid w:val="00684319"/>
    <w:rsid w:val="006A767A"/>
    <w:rsid w:val="006C2CA3"/>
    <w:rsid w:val="006D2490"/>
    <w:rsid w:val="006D6A63"/>
    <w:rsid w:val="006E0834"/>
    <w:rsid w:val="006F1643"/>
    <w:rsid w:val="007074A0"/>
    <w:rsid w:val="00707E5A"/>
    <w:rsid w:val="007133F7"/>
    <w:rsid w:val="0071394D"/>
    <w:rsid w:val="00744692"/>
    <w:rsid w:val="007448DD"/>
    <w:rsid w:val="00747681"/>
    <w:rsid w:val="0076350F"/>
    <w:rsid w:val="00773C22"/>
    <w:rsid w:val="007774F2"/>
    <w:rsid w:val="00791718"/>
    <w:rsid w:val="007954A6"/>
    <w:rsid w:val="007A6F1E"/>
    <w:rsid w:val="007B3541"/>
    <w:rsid w:val="007D2840"/>
    <w:rsid w:val="007D65E2"/>
    <w:rsid w:val="007E50B1"/>
    <w:rsid w:val="007F7E1A"/>
    <w:rsid w:val="00832300"/>
    <w:rsid w:val="00832D63"/>
    <w:rsid w:val="008332A9"/>
    <w:rsid w:val="00836E34"/>
    <w:rsid w:val="00850044"/>
    <w:rsid w:val="008703A7"/>
    <w:rsid w:val="0087455F"/>
    <w:rsid w:val="00877799"/>
    <w:rsid w:val="008C5650"/>
    <w:rsid w:val="008E3893"/>
    <w:rsid w:val="008E4772"/>
    <w:rsid w:val="0090083A"/>
    <w:rsid w:val="009077B3"/>
    <w:rsid w:val="00912469"/>
    <w:rsid w:val="00915640"/>
    <w:rsid w:val="00920187"/>
    <w:rsid w:val="00927E1B"/>
    <w:rsid w:val="00943698"/>
    <w:rsid w:val="00960717"/>
    <w:rsid w:val="009830CA"/>
    <w:rsid w:val="00987A9E"/>
    <w:rsid w:val="009957C5"/>
    <w:rsid w:val="009A2714"/>
    <w:rsid w:val="009E45BE"/>
    <w:rsid w:val="00A066ED"/>
    <w:rsid w:val="00A35645"/>
    <w:rsid w:val="00A619C0"/>
    <w:rsid w:val="00A70B7A"/>
    <w:rsid w:val="00A70C3C"/>
    <w:rsid w:val="00A73E56"/>
    <w:rsid w:val="00A75070"/>
    <w:rsid w:val="00AA2B3E"/>
    <w:rsid w:val="00AA4099"/>
    <w:rsid w:val="00AB319D"/>
    <w:rsid w:val="00AB669C"/>
    <w:rsid w:val="00AD58FD"/>
    <w:rsid w:val="00AE4128"/>
    <w:rsid w:val="00AF0355"/>
    <w:rsid w:val="00AF1D70"/>
    <w:rsid w:val="00AF3FB3"/>
    <w:rsid w:val="00AF4149"/>
    <w:rsid w:val="00B00947"/>
    <w:rsid w:val="00B1042B"/>
    <w:rsid w:val="00B33AB3"/>
    <w:rsid w:val="00B44D93"/>
    <w:rsid w:val="00B66778"/>
    <w:rsid w:val="00B7004A"/>
    <w:rsid w:val="00B828FC"/>
    <w:rsid w:val="00B87932"/>
    <w:rsid w:val="00B90265"/>
    <w:rsid w:val="00B942D2"/>
    <w:rsid w:val="00BA05CC"/>
    <w:rsid w:val="00BA75B4"/>
    <w:rsid w:val="00BB0360"/>
    <w:rsid w:val="00BC5B87"/>
    <w:rsid w:val="00BE0E0B"/>
    <w:rsid w:val="00BE748F"/>
    <w:rsid w:val="00C270F9"/>
    <w:rsid w:val="00C41AB0"/>
    <w:rsid w:val="00C43DA5"/>
    <w:rsid w:val="00C75733"/>
    <w:rsid w:val="00C85F89"/>
    <w:rsid w:val="00CB202E"/>
    <w:rsid w:val="00CC1803"/>
    <w:rsid w:val="00CE4445"/>
    <w:rsid w:val="00CE56BD"/>
    <w:rsid w:val="00CE75EB"/>
    <w:rsid w:val="00CF2157"/>
    <w:rsid w:val="00CF7A9D"/>
    <w:rsid w:val="00D058AF"/>
    <w:rsid w:val="00D15066"/>
    <w:rsid w:val="00D174AA"/>
    <w:rsid w:val="00D223CE"/>
    <w:rsid w:val="00D27011"/>
    <w:rsid w:val="00D31441"/>
    <w:rsid w:val="00D32D51"/>
    <w:rsid w:val="00D36C37"/>
    <w:rsid w:val="00D42916"/>
    <w:rsid w:val="00D44DB9"/>
    <w:rsid w:val="00D52D8A"/>
    <w:rsid w:val="00D5781D"/>
    <w:rsid w:val="00D62F1D"/>
    <w:rsid w:val="00D646EF"/>
    <w:rsid w:val="00D66713"/>
    <w:rsid w:val="00D717ED"/>
    <w:rsid w:val="00D84A85"/>
    <w:rsid w:val="00D87ED2"/>
    <w:rsid w:val="00D9374A"/>
    <w:rsid w:val="00DA02F6"/>
    <w:rsid w:val="00DA4D40"/>
    <w:rsid w:val="00DB78B4"/>
    <w:rsid w:val="00DC3DE1"/>
    <w:rsid w:val="00DC45C9"/>
    <w:rsid w:val="00DD72B2"/>
    <w:rsid w:val="00E02FA6"/>
    <w:rsid w:val="00E23554"/>
    <w:rsid w:val="00E249E5"/>
    <w:rsid w:val="00E464CA"/>
    <w:rsid w:val="00E56082"/>
    <w:rsid w:val="00E60910"/>
    <w:rsid w:val="00E929B3"/>
    <w:rsid w:val="00EB4B7E"/>
    <w:rsid w:val="00EC261D"/>
    <w:rsid w:val="00EC6579"/>
    <w:rsid w:val="00EE278D"/>
    <w:rsid w:val="00EE2FDB"/>
    <w:rsid w:val="00F07393"/>
    <w:rsid w:val="00F12259"/>
    <w:rsid w:val="00F22D20"/>
    <w:rsid w:val="00F23CCC"/>
    <w:rsid w:val="00F3508B"/>
    <w:rsid w:val="00F416E9"/>
    <w:rsid w:val="00F43C44"/>
    <w:rsid w:val="00F51F97"/>
    <w:rsid w:val="00F72511"/>
    <w:rsid w:val="00F72C77"/>
    <w:rsid w:val="00F767F0"/>
    <w:rsid w:val="00F82B96"/>
    <w:rsid w:val="00FA1411"/>
    <w:rsid w:val="00FA31D5"/>
    <w:rsid w:val="00FA77F8"/>
    <w:rsid w:val="00FB1EDE"/>
    <w:rsid w:val="00FB3E1A"/>
    <w:rsid w:val="00FD2F20"/>
    <w:rsid w:val="00FE4426"/>
    <w:rsid w:val="00FE57AA"/>
    <w:rsid w:val="02983B82"/>
    <w:rsid w:val="03429147"/>
    <w:rsid w:val="05C131ED"/>
    <w:rsid w:val="093DBDC0"/>
    <w:rsid w:val="0DBAE9BF"/>
    <w:rsid w:val="1223902B"/>
    <w:rsid w:val="20CAC1AB"/>
    <w:rsid w:val="24B90827"/>
    <w:rsid w:val="2934B64E"/>
    <w:rsid w:val="2C5F2CEF"/>
    <w:rsid w:val="2CC56F1D"/>
    <w:rsid w:val="2D2A5F86"/>
    <w:rsid w:val="37F09267"/>
    <w:rsid w:val="3C9FFE92"/>
    <w:rsid w:val="3D5B10D0"/>
    <w:rsid w:val="3F4EB5C8"/>
    <w:rsid w:val="40D02FDD"/>
    <w:rsid w:val="4304977C"/>
    <w:rsid w:val="4621C245"/>
    <w:rsid w:val="4B944D05"/>
    <w:rsid w:val="50F6E080"/>
    <w:rsid w:val="5569251F"/>
    <w:rsid w:val="6068063B"/>
    <w:rsid w:val="65FD17F2"/>
    <w:rsid w:val="69BFAB8A"/>
    <w:rsid w:val="70BB3464"/>
    <w:rsid w:val="71218D97"/>
    <w:rsid w:val="736472DB"/>
    <w:rsid w:val="7FF9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CF324"/>
  <w15:docId w15:val="{FCFFC5EE-8484-41B8-B07E-5567F09D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2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D51"/>
  </w:style>
  <w:style w:type="paragraph" w:styleId="Piedepgina">
    <w:name w:val="footer"/>
    <w:basedOn w:val="Normal"/>
    <w:link w:val="PiedepginaCar"/>
    <w:uiPriority w:val="99"/>
    <w:unhideWhenUsed/>
    <w:rsid w:val="00D32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D51"/>
  </w:style>
  <w:style w:type="paragraph" w:styleId="Prrafodelista">
    <w:name w:val="List Paragraph"/>
    <w:basedOn w:val="Normal"/>
    <w:link w:val="PrrafodelistaCar"/>
    <w:uiPriority w:val="34"/>
    <w:qFormat/>
    <w:rsid w:val="006A767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C26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26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26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6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26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61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223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F035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11520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FB1EDE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F2D5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B4A09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D5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D5781D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0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cion@iislafe.es" TargetMode="External"/><Relationship Id="rId18" Type="http://schemas.openxmlformats.org/officeDocument/2006/relationships/hyperlink" Target="mailto:vlc-biomed@uv.e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innovacion@iislafe.e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rea_cientifica@iislafe.es" TargetMode="External"/><Relationship Id="rId17" Type="http://schemas.openxmlformats.org/officeDocument/2006/relationships/hyperlink" Target="mailto:innovacion@iislafe.e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mote.iislafe.san.gva.es/intranet/" TargetMode="External"/><Relationship Id="rId20" Type="http://schemas.openxmlformats.org/officeDocument/2006/relationships/hyperlink" Target="mailto:vlc-biomed@uv.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mote.iislafe.san.gva.es/intranet/" TargetMode="External"/><Relationship Id="rId24" Type="http://schemas.openxmlformats.org/officeDocument/2006/relationships/hyperlink" Target="mailto:vlc-biomed@uv.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mote.iislafe.san.gva.es/intranet/" TargetMode="External"/><Relationship Id="rId23" Type="http://schemas.openxmlformats.org/officeDocument/2006/relationships/hyperlink" Target="mailto:innovacion@iislafe.e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nnovacion@iislafe.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.es/comissio-etica-investigacio-experimental/ca/comissio-etica-investigacio-experimental.html" TargetMode="External"/><Relationship Id="rId22" Type="http://schemas.openxmlformats.org/officeDocument/2006/relationships/hyperlink" Target="mailto:vlc-biomed@uv.e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27BDA4A72BB4E80ED3AC5274F8BDC" ma:contentTypeVersion="9" ma:contentTypeDescription="Crear nuevo documento." ma:contentTypeScope="" ma:versionID="7aed458aabb874e14a9f0293a797c7ab">
  <xsd:schema xmlns:xsd="http://www.w3.org/2001/XMLSchema" xmlns:xs="http://www.w3.org/2001/XMLSchema" xmlns:p="http://schemas.microsoft.com/office/2006/metadata/properties" xmlns:ns2="46b02089-0046-4be3-93c9-373cede8baf9" targetNamespace="http://schemas.microsoft.com/office/2006/metadata/properties" ma:root="true" ma:fieldsID="5f52845cdf8d03a6b3bcb2af6db7f606" ns2:_="">
    <xsd:import namespace="46b02089-0046-4be3-93c9-373cede8b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2089-0046-4be3-93c9-373cede8b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9E81-8F78-455C-83F9-048EBDDCF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02089-0046-4be3-93c9-373cede8b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8A3E5-740B-4650-9137-CC3280DD7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60856-B131-4724-9DFF-2E2FD3C4D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6F6B29-54D3-489A-8289-2BF9FEB4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2102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Aristoy</dc:creator>
  <cp:keywords/>
  <cp:lastModifiedBy>Angeles Sanchis</cp:lastModifiedBy>
  <cp:revision>2</cp:revision>
  <dcterms:created xsi:type="dcterms:W3CDTF">2021-03-09T11:17:00Z</dcterms:created>
  <dcterms:modified xsi:type="dcterms:W3CDTF">2021-03-09T11:17:00Z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0x0101009B027BDA4A72BB4E80ED3AC5274F8BDC</vt:lpwstr>
  </property>
</Properties>
</file>